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EE7B" w14:textId="77777777" w:rsidR="00FA0C67" w:rsidRDefault="00FA0C67" w:rsidP="00FA0C67">
      <w:pPr>
        <w:ind w:left="-288"/>
        <w:rPr>
          <w:rFonts w:ascii="Georgia" w:hAnsi="Georgia"/>
          <w:b/>
          <w:bCs/>
          <w:color w:val="162853"/>
          <w:sz w:val="40"/>
          <w:szCs w:val="40"/>
        </w:rPr>
      </w:pPr>
      <w:bookmarkStart w:id="0" w:name="_Hlk106263663"/>
      <w:bookmarkEnd w:id="0"/>
      <w:r w:rsidRPr="009E3AFB">
        <w:rPr>
          <w:rFonts w:ascii="Georgia" w:hAnsi="Georgia"/>
          <w:noProof/>
        </w:rPr>
        <w:drawing>
          <wp:anchor distT="0" distB="0" distL="114300" distR="114300" simplePos="0" relativeHeight="251661312" behindDoc="1" locked="0" layoutInCell="1" allowOverlap="1" wp14:anchorId="308BB30F" wp14:editId="7A611FFC">
            <wp:simplePos x="0" y="0"/>
            <wp:positionH relativeFrom="column">
              <wp:posOffset>-442255</wp:posOffset>
            </wp:positionH>
            <wp:positionV relativeFrom="paragraph">
              <wp:posOffset>-84455</wp:posOffset>
            </wp:positionV>
            <wp:extent cx="36195" cy="438785"/>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195" cy="438785"/>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b/>
          <w:bCs/>
          <w:color w:val="162853"/>
          <w:sz w:val="40"/>
          <w:szCs w:val="40"/>
        </w:rPr>
        <w:t>Mid-Year Capital Markets Update</w:t>
      </w:r>
    </w:p>
    <w:p w14:paraId="0442D0F5" w14:textId="77777777" w:rsidR="00FA0C67" w:rsidRDefault="00FA0C67" w:rsidP="00FA0C67">
      <w:pPr>
        <w:ind w:left="-288"/>
        <w:rPr>
          <w:rFonts w:ascii="Georgia" w:hAnsi="Georgia"/>
          <w:b/>
          <w:bCs/>
          <w:color w:val="162853"/>
          <w:sz w:val="40"/>
          <w:szCs w:val="40"/>
        </w:rPr>
      </w:pPr>
    </w:p>
    <w:p w14:paraId="48E77059" w14:textId="12570C9E" w:rsidR="00FA0C67" w:rsidRDefault="00FA0C67" w:rsidP="00FA0C67">
      <w:pPr>
        <w:spacing w:line="360" w:lineRule="auto"/>
        <w:ind w:left="-288"/>
        <w:rPr>
          <w:rFonts w:ascii="Georgia" w:hAnsi="Georgia"/>
          <w:b/>
          <w:bCs/>
          <w:i/>
          <w:iCs/>
          <w:color w:val="000000" w:themeColor="text1"/>
          <w:sz w:val="22"/>
          <w:szCs w:val="22"/>
        </w:rPr>
      </w:pPr>
      <w:r w:rsidRPr="007304CF">
        <w:rPr>
          <w:rFonts w:ascii="Georgia" w:hAnsi="Georgia"/>
          <w:b/>
          <w:bCs/>
          <w:color w:val="00B0F0"/>
          <w:sz w:val="28"/>
          <w:szCs w:val="36"/>
        </w:rPr>
        <w:t>Re</w:t>
      </w:r>
      <w:r>
        <w:rPr>
          <w:rFonts w:ascii="Georgia" w:hAnsi="Georgia"/>
          <w:b/>
          <w:bCs/>
          <w:color w:val="00B0F0"/>
          <w:sz w:val="28"/>
          <w:szCs w:val="36"/>
        </w:rPr>
        <w:t>assessing the Evolving Market Landscape</w:t>
      </w:r>
    </w:p>
    <w:p w14:paraId="57E38103" w14:textId="39889C78" w:rsidR="00811F6F" w:rsidRDefault="00811F6F" w:rsidP="00811F6F">
      <w:pPr>
        <w:spacing w:line="360" w:lineRule="auto"/>
        <w:ind w:left="-288"/>
        <w:rPr>
          <w:rFonts w:ascii="Georgia" w:hAnsi="Georgia"/>
          <w:b/>
          <w:bCs/>
          <w:i/>
          <w:iCs/>
          <w:color w:val="000000" w:themeColor="text1"/>
          <w:sz w:val="22"/>
          <w:szCs w:val="22"/>
        </w:rPr>
      </w:pPr>
      <w:r w:rsidRPr="00825D1B">
        <w:rPr>
          <w:rFonts w:ascii="Georgia" w:hAnsi="Georgia"/>
          <w:b/>
          <w:bCs/>
          <w:i/>
          <w:iCs/>
          <w:color w:val="000000" w:themeColor="text1"/>
          <w:sz w:val="22"/>
          <w:szCs w:val="22"/>
        </w:rPr>
        <w:t>Key Observations</w:t>
      </w:r>
    </w:p>
    <w:p w14:paraId="4DD9273B" w14:textId="53EF7D39" w:rsidR="00811F6F" w:rsidRPr="00A56F9E" w:rsidRDefault="00811F6F" w:rsidP="00811F6F">
      <w:pPr>
        <w:pStyle w:val="ListParagraph"/>
        <w:numPr>
          <w:ilvl w:val="0"/>
          <w:numId w:val="1"/>
        </w:numPr>
        <w:spacing w:line="360" w:lineRule="auto"/>
        <w:rPr>
          <w:rFonts w:ascii="Georgia" w:hAnsi="Georgia"/>
          <w:i/>
          <w:iCs/>
          <w:color w:val="000000" w:themeColor="text1"/>
          <w:sz w:val="21"/>
          <w:szCs w:val="21"/>
        </w:rPr>
      </w:pPr>
      <w:r>
        <w:rPr>
          <w:rFonts w:ascii="Georgia" w:hAnsi="Georgia"/>
          <w:i/>
          <w:iCs/>
          <w:color w:val="000000" w:themeColor="text1"/>
          <w:sz w:val="21"/>
          <w:szCs w:val="21"/>
        </w:rPr>
        <w:t>W</w:t>
      </w:r>
      <w:r w:rsidRPr="00A56F9E">
        <w:rPr>
          <w:rFonts w:ascii="Georgia" w:hAnsi="Georgia"/>
          <w:i/>
          <w:iCs/>
          <w:color w:val="000000" w:themeColor="text1"/>
          <w:sz w:val="21"/>
          <w:szCs w:val="21"/>
        </w:rPr>
        <w:t>e anticipated a challenging investment environment with heightened levels of volatility.</w:t>
      </w:r>
    </w:p>
    <w:p w14:paraId="1EC2E5CA" w14:textId="77777777" w:rsidR="00811F6F" w:rsidRPr="00A56F9E" w:rsidRDefault="00811F6F" w:rsidP="00811F6F">
      <w:pPr>
        <w:pStyle w:val="ListParagraph"/>
        <w:numPr>
          <w:ilvl w:val="0"/>
          <w:numId w:val="1"/>
        </w:numPr>
        <w:spacing w:line="360" w:lineRule="auto"/>
        <w:rPr>
          <w:rFonts w:ascii="Georgia" w:hAnsi="Georgia"/>
          <w:i/>
          <w:iCs/>
          <w:color w:val="000000" w:themeColor="text1"/>
          <w:sz w:val="21"/>
          <w:szCs w:val="21"/>
        </w:rPr>
      </w:pPr>
      <w:r w:rsidRPr="00A56F9E">
        <w:rPr>
          <w:rFonts w:ascii="Georgia" w:hAnsi="Georgia"/>
          <w:i/>
          <w:iCs/>
          <w:color w:val="000000" w:themeColor="text1"/>
          <w:sz w:val="21"/>
          <w:szCs w:val="21"/>
        </w:rPr>
        <w:t xml:space="preserve">The broad themes outlined at the beginning of the year – the evolving nature of the pandemic, central bankers’ balancing act and historically high inflation remain the prevailing themes. </w:t>
      </w:r>
      <w:r>
        <w:rPr>
          <w:rFonts w:ascii="Georgia" w:hAnsi="Georgia"/>
          <w:i/>
          <w:iCs/>
          <w:color w:val="000000" w:themeColor="text1"/>
          <w:sz w:val="21"/>
          <w:szCs w:val="21"/>
        </w:rPr>
        <w:t>A</w:t>
      </w:r>
      <w:r w:rsidRPr="00A56F9E">
        <w:rPr>
          <w:rFonts w:ascii="Georgia" w:hAnsi="Georgia"/>
          <w:i/>
          <w:iCs/>
          <w:color w:val="000000" w:themeColor="text1"/>
          <w:sz w:val="21"/>
          <w:szCs w:val="21"/>
        </w:rPr>
        <w:t>long with the rising probability of recession</w:t>
      </w:r>
      <w:r>
        <w:rPr>
          <w:rFonts w:ascii="Georgia" w:hAnsi="Georgia"/>
          <w:i/>
          <w:iCs/>
          <w:color w:val="000000" w:themeColor="text1"/>
          <w:sz w:val="21"/>
          <w:szCs w:val="21"/>
        </w:rPr>
        <w:t>, these themes</w:t>
      </w:r>
      <w:r w:rsidRPr="00A56F9E">
        <w:rPr>
          <w:rFonts w:ascii="Georgia" w:hAnsi="Georgia"/>
          <w:i/>
          <w:iCs/>
          <w:color w:val="000000" w:themeColor="text1"/>
          <w:sz w:val="21"/>
          <w:szCs w:val="21"/>
        </w:rPr>
        <w:t xml:space="preserve"> will likely drive capital markets volatility throughout the second half of the year.</w:t>
      </w:r>
    </w:p>
    <w:p w14:paraId="35F64AAE" w14:textId="77777777" w:rsidR="00811F6F" w:rsidRPr="00A56F9E" w:rsidRDefault="00811F6F" w:rsidP="00811F6F">
      <w:pPr>
        <w:pStyle w:val="ListParagraph"/>
        <w:numPr>
          <w:ilvl w:val="0"/>
          <w:numId w:val="1"/>
        </w:numPr>
        <w:spacing w:line="360" w:lineRule="auto"/>
        <w:rPr>
          <w:rFonts w:ascii="Georgia" w:hAnsi="Georgia"/>
          <w:i/>
          <w:iCs/>
          <w:color w:val="000000" w:themeColor="text1"/>
          <w:sz w:val="21"/>
          <w:szCs w:val="21"/>
        </w:rPr>
      </w:pPr>
      <w:r w:rsidRPr="00A56F9E">
        <w:rPr>
          <w:rFonts w:ascii="Georgia" w:hAnsi="Georgia"/>
          <w:i/>
          <w:iCs/>
          <w:color w:val="000000" w:themeColor="text1"/>
          <w:sz w:val="21"/>
          <w:szCs w:val="21"/>
        </w:rPr>
        <w:t xml:space="preserve">As of June 13, 2022, the S&amp;P 500 officially entered bear market territory, which is more than 20 percent below its all-time high set in January of 2022. In addition to a challenging global stock market rout, the 10-Year U.S. Treasury yield is up about 2 percent year-to-date (through June 14), making the first half of 2022 one the worst periods for the bond markets on record. </w:t>
      </w:r>
    </w:p>
    <w:p w14:paraId="449BB5F3" w14:textId="77777777" w:rsidR="00811F6F" w:rsidRPr="00DA2CCB" w:rsidRDefault="00811F6F" w:rsidP="00811F6F">
      <w:pPr>
        <w:spacing w:line="360" w:lineRule="auto"/>
        <w:rPr>
          <w:rFonts w:ascii="Georgia" w:hAnsi="Georgia"/>
          <w:i/>
          <w:iCs/>
          <w:color w:val="000000" w:themeColor="text1"/>
          <w:sz w:val="22"/>
          <w:szCs w:val="22"/>
        </w:rPr>
      </w:pPr>
    </w:p>
    <w:p w14:paraId="24A002B8" w14:textId="77777777" w:rsidR="00811F6F" w:rsidRPr="007304CF" w:rsidRDefault="00811F6F" w:rsidP="00811F6F">
      <w:pPr>
        <w:spacing w:line="360" w:lineRule="auto"/>
        <w:ind w:left="-288"/>
        <w:rPr>
          <w:rFonts w:ascii="Georgia" w:hAnsi="Georgia"/>
          <w:b/>
          <w:bCs/>
          <w:color w:val="00B0F0"/>
          <w:sz w:val="28"/>
          <w:szCs w:val="36"/>
        </w:rPr>
      </w:pPr>
      <w:r>
        <w:rPr>
          <w:rFonts w:ascii="Georgia" w:hAnsi="Georgia"/>
          <w:b/>
          <w:bCs/>
          <w:color w:val="00B0F0"/>
          <w:sz w:val="28"/>
          <w:szCs w:val="36"/>
        </w:rPr>
        <w:t>The State of the Broader Economy</w:t>
      </w:r>
    </w:p>
    <w:p w14:paraId="299525B6" w14:textId="77777777" w:rsidR="00811F6F" w:rsidRDefault="00811F6F" w:rsidP="00811F6F">
      <w:pPr>
        <w:spacing w:line="360" w:lineRule="auto"/>
        <w:ind w:left="-288"/>
        <w:rPr>
          <w:rFonts w:ascii="Georgia" w:hAnsi="Georgia"/>
          <w:sz w:val="20"/>
          <w:szCs w:val="20"/>
        </w:rPr>
      </w:pPr>
      <w:r>
        <w:rPr>
          <w:rFonts w:ascii="Georgia" w:hAnsi="Georgia"/>
          <w:sz w:val="20"/>
          <w:szCs w:val="20"/>
        </w:rPr>
        <w:t>With the economic fallout including the exacerbation of inflationary forces from the war in Ukraine, CPI at 40-year highs, a flattening yield curve bordering on inversion and a bear market in the S&amp;P 500 index (as of June 13), recession expectations have been steadily rising during early 2022. Near-term economic and inflation data is likely to underwhelm if not disappoint, particularly on the heels of the strong economic advances in the aftermath of massive fiscal and monetary stimulus throughout the pandemic. In the current environment, even in the face of slowing economic growth and forward-looking growth expectations, the Fed has little wiggle room to focus on anything other than reining in inflation. Given the Fed’s failure to raise rates in 2021 in the face of what it called ‘transitory’ inflation at the time, it has no choice now but to play catch up to try to rein in inflation even if means causing a recession. As a result, global stock and bond markets have been grappling with increasing stagflation concerns, which have necessitated the broad repricing of financial assets that we have seen.</w:t>
      </w:r>
    </w:p>
    <w:p w14:paraId="59D47AED" w14:textId="77777777" w:rsidR="00811F6F" w:rsidRDefault="00811F6F" w:rsidP="00811F6F">
      <w:pPr>
        <w:spacing w:line="360" w:lineRule="auto"/>
        <w:ind w:left="-288"/>
        <w:rPr>
          <w:rFonts w:ascii="Georgia" w:hAnsi="Georgia"/>
          <w:sz w:val="20"/>
          <w:szCs w:val="20"/>
        </w:rPr>
      </w:pPr>
      <w:r>
        <w:rPr>
          <w:rFonts w:ascii="Georgia" w:hAnsi="Georgia"/>
          <w:sz w:val="20"/>
          <w:szCs w:val="20"/>
        </w:rPr>
        <w:t xml:space="preserve">  </w:t>
      </w:r>
    </w:p>
    <w:p w14:paraId="477CBEB3" w14:textId="77777777" w:rsidR="00811F6F" w:rsidRPr="00A56F9E" w:rsidRDefault="00811F6F" w:rsidP="00811F6F">
      <w:pPr>
        <w:spacing w:line="360" w:lineRule="auto"/>
        <w:ind w:left="-288"/>
        <w:rPr>
          <w:rFonts w:ascii="Georgia" w:hAnsi="Georgia"/>
          <w:b/>
          <w:bCs/>
          <w:color w:val="00B0F0"/>
          <w:sz w:val="28"/>
          <w:szCs w:val="36"/>
          <w:u w:val="single"/>
        </w:rPr>
      </w:pPr>
      <w:r>
        <w:rPr>
          <w:rFonts w:ascii="Georgia" w:hAnsi="Georgia"/>
          <w:sz w:val="20"/>
          <w:szCs w:val="20"/>
        </w:rPr>
        <w:t xml:space="preserve"> </w:t>
      </w:r>
      <w:bookmarkStart w:id="1" w:name="_Hlk104971998"/>
      <w:r w:rsidRPr="00A56F9E">
        <w:rPr>
          <w:rFonts w:ascii="Georgia" w:hAnsi="Georgia"/>
          <w:b/>
          <w:bCs/>
          <w:color w:val="00B0F0"/>
          <w:sz w:val="28"/>
          <w:szCs w:val="36"/>
          <w:u w:val="single"/>
        </w:rPr>
        <w:t>Our 2022 Themes – Revisited</w:t>
      </w:r>
    </w:p>
    <w:p w14:paraId="17ACA263" w14:textId="77777777" w:rsidR="00811F6F" w:rsidRPr="007304CF" w:rsidRDefault="00811F6F" w:rsidP="00811F6F">
      <w:pPr>
        <w:spacing w:line="360" w:lineRule="auto"/>
        <w:ind w:left="-288"/>
        <w:rPr>
          <w:rFonts w:ascii="Georgia" w:hAnsi="Georgia"/>
          <w:b/>
          <w:bCs/>
          <w:color w:val="00B0F0"/>
          <w:sz w:val="28"/>
          <w:szCs w:val="36"/>
        </w:rPr>
      </w:pPr>
    </w:p>
    <w:bookmarkEnd w:id="1"/>
    <w:p w14:paraId="54DE5CC5" w14:textId="77777777" w:rsidR="00811F6F" w:rsidRPr="00C16ACA" w:rsidRDefault="00811F6F" w:rsidP="00811F6F">
      <w:pPr>
        <w:pStyle w:val="ListParagraph"/>
        <w:numPr>
          <w:ilvl w:val="0"/>
          <w:numId w:val="2"/>
        </w:numPr>
        <w:spacing w:line="360" w:lineRule="auto"/>
        <w:rPr>
          <w:rFonts w:ascii="Georgia" w:hAnsi="Georgia"/>
          <w:b/>
          <w:bCs/>
          <w:color w:val="002855"/>
        </w:rPr>
      </w:pPr>
      <w:r w:rsidRPr="00C16ACA">
        <w:rPr>
          <w:rFonts w:ascii="Georgia" w:hAnsi="Georgia"/>
          <w:b/>
          <w:bCs/>
          <w:color w:val="002855"/>
        </w:rPr>
        <w:t>From Pandemic to Endemic</w:t>
      </w:r>
    </w:p>
    <w:p w14:paraId="7199E33B" w14:textId="77777777" w:rsidR="00811F6F" w:rsidRDefault="00811F6F" w:rsidP="00811F6F">
      <w:pPr>
        <w:spacing w:line="360" w:lineRule="auto"/>
        <w:ind w:left="72"/>
        <w:rPr>
          <w:rFonts w:ascii="Georgia" w:hAnsi="Georgia"/>
          <w:sz w:val="20"/>
          <w:szCs w:val="20"/>
        </w:rPr>
      </w:pPr>
      <w:r>
        <w:rPr>
          <w:rFonts w:ascii="Georgia" w:hAnsi="Georgia"/>
          <w:sz w:val="20"/>
          <w:szCs w:val="20"/>
        </w:rPr>
        <w:t>Despite the general trend toward less virulent subsequent variants, we expect COVID-19 to continue to exacerbate supply chain bottlenecks particularly in China where a zero COVID-19 policy is still leading to unpredictable production stoppages and global economic growth headwinds. It is another factor leading to supply shortages and inflationary pressures.</w:t>
      </w:r>
    </w:p>
    <w:p w14:paraId="37AF3D54" w14:textId="77777777" w:rsidR="00811F6F" w:rsidRDefault="00811F6F" w:rsidP="00811F6F">
      <w:pPr>
        <w:spacing w:line="360" w:lineRule="auto"/>
        <w:ind w:left="72"/>
        <w:rPr>
          <w:rFonts w:ascii="Georgia" w:hAnsi="Georgia"/>
          <w:sz w:val="20"/>
          <w:szCs w:val="20"/>
        </w:rPr>
      </w:pPr>
    </w:p>
    <w:p w14:paraId="11D4C08A" w14:textId="77777777" w:rsidR="00811F6F" w:rsidRPr="00C16ACA" w:rsidRDefault="00811F6F" w:rsidP="00811F6F">
      <w:pPr>
        <w:pStyle w:val="ListParagraph"/>
        <w:numPr>
          <w:ilvl w:val="0"/>
          <w:numId w:val="2"/>
        </w:numPr>
        <w:spacing w:line="360" w:lineRule="auto"/>
        <w:rPr>
          <w:rFonts w:ascii="Georgia" w:hAnsi="Georgia"/>
          <w:b/>
          <w:bCs/>
          <w:color w:val="002855"/>
        </w:rPr>
      </w:pPr>
      <w:r w:rsidRPr="00C16ACA">
        <w:rPr>
          <w:rFonts w:ascii="Georgia" w:hAnsi="Georgia"/>
          <w:b/>
          <w:bCs/>
          <w:color w:val="002855"/>
        </w:rPr>
        <w:lastRenderedPageBreak/>
        <w:t>Policy Maker Tightrope</w:t>
      </w:r>
    </w:p>
    <w:p w14:paraId="29EB1685" w14:textId="77777777" w:rsidR="00811F6F" w:rsidRDefault="00811F6F" w:rsidP="00811F6F">
      <w:pPr>
        <w:pStyle w:val="ListParagraph"/>
        <w:spacing w:line="360" w:lineRule="auto"/>
        <w:ind w:left="72"/>
        <w:rPr>
          <w:rFonts w:ascii="Georgia" w:hAnsi="Georgia"/>
          <w:sz w:val="20"/>
          <w:szCs w:val="20"/>
        </w:rPr>
      </w:pPr>
      <w:r>
        <w:rPr>
          <w:rFonts w:ascii="Georgia" w:hAnsi="Georgia"/>
          <w:sz w:val="20"/>
          <w:szCs w:val="20"/>
        </w:rPr>
        <w:t>Central bankers across the globe continue to implement an array of policy responses, crafted to answer to their own unique economic circumstances. While central banks in many advanced markets are raising rates to dampen inflation, conditions elsewhere have required more nuanced approaches – ranging from the European Central Banks’s near-term emphasis on quantitative tightening and higher rates to the People’s Bank of China’s efforts that lean into more stimulus to stabilize an economy recently maligned by widespread lockdowns in response to a COVID-19 outbreak.</w:t>
      </w:r>
    </w:p>
    <w:p w14:paraId="40540072" w14:textId="77777777" w:rsidR="00811F6F" w:rsidRDefault="00811F6F" w:rsidP="00811F6F">
      <w:pPr>
        <w:spacing w:line="360" w:lineRule="auto"/>
        <w:ind w:left="72"/>
        <w:rPr>
          <w:rFonts w:ascii="Georgia" w:hAnsi="Georgia"/>
          <w:sz w:val="20"/>
          <w:szCs w:val="20"/>
        </w:rPr>
      </w:pPr>
    </w:p>
    <w:p w14:paraId="71A1F458" w14:textId="77777777" w:rsidR="00811F6F" w:rsidRPr="00C16ACA" w:rsidRDefault="00811F6F" w:rsidP="00811F6F">
      <w:pPr>
        <w:pStyle w:val="ListParagraph"/>
        <w:numPr>
          <w:ilvl w:val="0"/>
          <w:numId w:val="2"/>
        </w:numPr>
        <w:spacing w:line="360" w:lineRule="auto"/>
        <w:rPr>
          <w:rFonts w:ascii="Georgia" w:hAnsi="Georgia"/>
          <w:b/>
          <w:bCs/>
          <w:color w:val="002855"/>
        </w:rPr>
      </w:pPr>
      <w:r w:rsidRPr="00C16ACA">
        <w:rPr>
          <w:rFonts w:ascii="Georgia" w:hAnsi="Georgia"/>
          <w:b/>
          <w:bCs/>
          <w:color w:val="002855"/>
        </w:rPr>
        <w:t xml:space="preserve">Inflation: Coming or Going? </w:t>
      </w:r>
    </w:p>
    <w:p w14:paraId="6D27D97D" w14:textId="77777777" w:rsidR="00811F6F" w:rsidRDefault="00811F6F" w:rsidP="00811F6F">
      <w:pPr>
        <w:pStyle w:val="ListParagraph"/>
        <w:spacing w:line="360" w:lineRule="auto"/>
        <w:ind w:left="72"/>
        <w:rPr>
          <w:rFonts w:ascii="Georgia" w:hAnsi="Georgia"/>
          <w:sz w:val="20"/>
          <w:szCs w:val="20"/>
        </w:rPr>
      </w:pPr>
      <w:r>
        <w:rPr>
          <w:rFonts w:ascii="Georgia" w:hAnsi="Georgia"/>
          <w:sz w:val="20"/>
          <w:szCs w:val="20"/>
        </w:rPr>
        <w:t xml:space="preserve">Inflation continues to run at 40-year highs, which is untenable to the Fed. As shown by the Fed’s nearly unanimous approval of its </w:t>
      </w:r>
      <w:proofErr w:type="gramStart"/>
      <w:r>
        <w:rPr>
          <w:rFonts w:ascii="Georgia" w:hAnsi="Georgia"/>
          <w:sz w:val="20"/>
          <w:szCs w:val="20"/>
        </w:rPr>
        <w:t>75 basis</w:t>
      </w:r>
      <w:proofErr w:type="gramEnd"/>
      <w:r>
        <w:rPr>
          <w:rFonts w:ascii="Georgia" w:hAnsi="Georgia"/>
          <w:sz w:val="20"/>
          <w:szCs w:val="20"/>
        </w:rPr>
        <w:t xml:space="preserve"> point hike on June 15, there will be a more accelerated and emphatic path to higher rates than expected as recently as last week or last month. Among Fed officials, the weighted-average expectation for the Fed Funds rate at year-end currently stands at 3.6 percent according to the CME </w:t>
      </w:r>
      <w:proofErr w:type="spellStart"/>
      <w:r>
        <w:rPr>
          <w:rFonts w:ascii="Georgia" w:hAnsi="Georgia"/>
          <w:sz w:val="20"/>
          <w:szCs w:val="20"/>
        </w:rPr>
        <w:t>FedWatch</w:t>
      </w:r>
      <w:proofErr w:type="spellEnd"/>
      <w:r>
        <w:rPr>
          <w:rFonts w:ascii="Georgia" w:hAnsi="Georgia"/>
          <w:sz w:val="20"/>
          <w:szCs w:val="20"/>
        </w:rPr>
        <w:t xml:space="preserve"> Tool as of June 17, 2022. One week ago on June 10, it stood at 3.3 percent and one month ago on May 17, it stood at 2.9 percent. The current Fed Funds Rate is 1.5-1.75 percent</w:t>
      </w:r>
      <w:r>
        <w:rPr>
          <w:rStyle w:val="FootnoteReference"/>
          <w:rFonts w:ascii="Georgia" w:hAnsi="Georgia"/>
          <w:sz w:val="20"/>
          <w:szCs w:val="20"/>
        </w:rPr>
        <w:footnoteReference w:id="1"/>
      </w:r>
      <w:r>
        <w:rPr>
          <w:rFonts w:ascii="Georgia" w:hAnsi="Georgia"/>
          <w:sz w:val="20"/>
          <w:szCs w:val="20"/>
        </w:rPr>
        <w:t>.</w:t>
      </w:r>
    </w:p>
    <w:p w14:paraId="2CCF84A0" w14:textId="77777777" w:rsidR="00811F6F" w:rsidRDefault="00811F6F" w:rsidP="00811F6F">
      <w:pPr>
        <w:spacing w:line="360" w:lineRule="auto"/>
        <w:ind w:left="72"/>
        <w:rPr>
          <w:rFonts w:ascii="Georgia" w:hAnsi="Georgia"/>
          <w:b/>
          <w:bCs/>
          <w:color w:val="00B0F0"/>
          <w:sz w:val="20"/>
          <w:szCs w:val="20"/>
        </w:rPr>
      </w:pPr>
    </w:p>
    <w:p w14:paraId="31DE3F0A" w14:textId="77777777" w:rsidR="00811F6F" w:rsidRPr="00C16ACA" w:rsidRDefault="00811F6F" w:rsidP="00811F6F">
      <w:pPr>
        <w:pStyle w:val="ListParagraph"/>
        <w:numPr>
          <w:ilvl w:val="0"/>
          <w:numId w:val="2"/>
        </w:numPr>
        <w:spacing w:line="360" w:lineRule="auto"/>
        <w:rPr>
          <w:rFonts w:ascii="Georgia" w:hAnsi="Georgia"/>
          <w:b/>
          <w:bCs/>
          <w:color w:val="002855"/>
        </w:rPr>
      </w:pPr>
      <w:r w:rsidRPr="00C16ACA">
        <w:rPr>
          <w:rFonts w:ascii="Georgia" w:hAnsi="Georgia"/>
          <w:b/>
          <w:bCs/>
          <w:color w:val="002855"/>
        </w:rPr>
        <w:t>Volatility Ahead: Be comfortable with your risk posture</w:t>
      </w:r>
    </w:p>
    <w:p w14:paraId="362528B1" w14:textId="77777777" w:rsidR="00811F6F" w:rsidRDefault="00811F6F" w:rsidP="00811F6F">
      <w:pPr>
        <w:pStyle w:val="ListParagraph"/>
        <w:spacing w:line="360" w:lineRule="auto"/>
        <w:ind w:left="72"/>
        <w:rPr>
          <w:rFonts w:ascii="Georgia" w:hAnsi="Georgia"/>
          <w:sz w:val="20"/>
          <w:szCs w:val="20"/>
        </w:rPr>
      </w:pPr>
      <w:r>
        <w:rPr>
          <w:rFonts w:ascii="Georgia" w:hAnsi="Georgia"/>
          <w:sz w:val="20"/>
          <w:szCs w:val="20"/>
        </w:rPr>
        <w:t>Equity markets no longer enjoy accommodative monetary policy and find their relative appeal more directly challenged by meaningfully higher bond yields. As investors find they can earn higher rates of return investing in bonds on a go forward basis, stocks reprice (down) until a new equilibrium is achieved. Interest rate volatility remains higher than normal as investors labor to gauge the Fed’s further policy intentions, which will be driven by inflation data. So far in 2022, the number of days where the U.S. Treasury has moved 10 basis points (0.10 percent</w:t>
      </w:r>
      <w:proofErr w:type="gramStart"/>
      <w:r>
        <w:rPr>
          <w:rFonts w:ascii="Georgia" w:hAnsi="Georgia"/>
          <w:sz w:val="20"/>
          <w:szCs w:val="20"/>
        </w:rPr>
        <w:t>)</w:t>
      </w:r>
      <w:proofErr w:type="gramEnd"/>
      <w:r>
        <w:rPr>
          <w:rFonts w:ascii="Georgia" w:hAnsi="Georgia"/>
          <w:sz w:val="20"/>
          <w:szCs w:val="20"/>
        </w:rPr>
        <w:t xml:space="preserve"> or more is well above the pace of previous years.</w:t>
      </w:r>
    </w:p>
    <w:p w14:paraId="4A96E1C5" w14:textId="77777777" w:rsidR="00811F6F" w:rsidRDefault="00811F6F" w:rsidP="00811F6F">
      <w:pPr>
        <w:pStyle w:val="ListParagraph"/>
        <w:spacing w:line="360" w:lineRule="auto"/>
        <w:ind w:left="72"/>
        <w:rPr>
          <w:rFonts w:ascii="Georgia" w:hAnsi="Georgia"/>
          <w:sz w:val="20"/>
          <w:szCs w:val="20"/>
        </w:rPr>
      </w:pPr>
    </w:p>
    <w:p w14:paraId="196029BF" w14:textId="77777777" w:rsidR="00811F6F" w:rsidRDefault="00811F6F" w:rsidP="00811F6F">
      <w:pPr>
        <w:pStyle w:val="ListParagraph"/>
        <w:spacing w:line="360" w:lineRule="auto"/>
        <w:ind w:left="72"/>
        <w:rPr>
          <w:rFonts w:ascii="Georgia" w:hAnsi="Georgia"/>
          <w:sz w:val="20"/>
          <w:szCs w:val="20"/>
        </w:rPr>
      </w:pPr>
      <w:r>
        <w:rPr>
          <w:noProof/>
        </w:rPr>
        <w:lastRenderedPageBreak/>
        <w:drawing>
          <wp:anchor distT="0" distB="0" distL="114300" distR="114300" simplePos="0" relativeHeight="251659264" behindDoc="1" locked="0" layoutInCell="1" allowOverlap="1" wp14:anchorId="1DD14312" wp14:editId="0006CDBA">
            <wp:simplePos x="0" y="0"/>
            <wp:positionH relativeFrom="column">
              <wp:posOffset>3384550</wp:posOffset>
            </wp:positionH>
            <wp:positionV relativeFrom="paragraph">
              <wp:posOffset>4445</wp:posOffset>
            </wp:positionV>
            <wp:extent cx="3149600" cy="2619375"/>
            <wp:effectExtent l="0" t="0" r="0" b="9525"/>
            <wp:wrapTight wrapText="bothSides">
              <wp:wrapPolygon edited="0">
                <wp:start x="0" y="0"/>
                <wp:lineTo x="0" y="21521"/>
                <wp:lineTo x="21426" y="21521"/>
                <wp:lineTo x="21426" y="0"/>
                <wp:lineTo x="0" y="0"/>
              </wp:wrapPolygon>
            </wp:wrapTight>
            <wp:docPr id="35" name="Chart 35">
              <a:extLst xmlns:a="http://schemas.openxmlformats.org/drawingml/2006/main">
                <a:ext uri="{FF2B5EF4-FFF2-40B4-BE49-F238E27FC236}">
                  <a16:creationId xmlns:a16="http://schemas.microsoft.com/office/drawing/2014/main" id="{190B4FD9-A481-4882-843F-DBEECDD58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r>
        <w:rPr>
          <w:noProof/>
        </w:rPr>
        <w:drawing>
          <wp:inline distT="0" distB="0" distL="0" distR="0" wp14:anchorId="200F174A" wp14:editId="7DFD26A1">
            <wp:extent cx="2857500" cy="2774950"/>
            <wp:effectExtent l="0" t="0" r="0" b="6350"/>
            <wp:docPr id="31" name="Chart 31">
              <a:extLst xmlns:a="http://schemas.openxmlformats.org/drawingml/2006/main">
                <a:ext uri="{FF2B5EF4-FFF2-40B4-BE49-F238E27FC236}">
                  <a16:creationId xmlns:a16="http://schemas.microsoft.com/office/drawing/2014/main" id="{13A3E1F2-F714-4905-9E97-EDD4BECE2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Georgia" w:hAnsi="Georgia"/>
          <w:sz w:val="20"/>
          <w:szCs w:val="20"/>
        </w:rPr>
        <w:t xml:space="preserve">      </w:t>
      </w:r>
    </w:p>
    <w:p w14:paraId="39D7E5B0" w14:textId="25A3E1DB" w:rsidR="00E65C55" w:rsidRDefault="00811F6F" w:rsidP="00811F6F">
      <w:pPr>
        <w:spacing w:line="360" w:lineRule="auto"/>
      </w:pPr>
      <w:r>
        <w:rPr>
          <w:rFonts w:ascii="Georgia" w:hAnsi="Georgia"/>
          <w:sz w:val="20"/>
          <w:szCs w:val="20"/>
        </w:rPr>
        <w:t xml:space="preserve">     </w:t>
      </w:r>
      <w:r w:rsidRPr="00314631">
        <w:rPr>
          <w:rFonts w:ascii="Georgia" w:hAnsi="Georgia"/>
          <w:sz w:val="20"/>
          <w:szCs w:val="20"/>
        </w:rPr>
        <w:t xml:space="preserve"> </w:t>
      </w:r>
    </w:p>
    <w:sectPr w:rsidR="00E65C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1AC33" w14:textId="77777777" w:rsidR="0089116A" w:rsidRDefault="0089116A" w:rsidP="00811F6F">
      <w:r>
        <w:separator/>
      </w:r>
    </w:p>
  </w:endnote>
  <w:endnote w:type="continuationSeparator" w:id="0">
    <w:p w14:paraId="0000E7A6" w14:textId="77777777" w:rsidR="0089116A" w:rsidRDefault="0089116A" w:rsidP="00811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FA66A" w14:textId="77777777" w:rsidR="0089116A" w:rsidRDefault="0089116A" w:rsidP="00811F6F">
      <w:r>
        <w:separator/>
      </w:r>
    </w:p>
  </w:footnote>
  <w:footnote w:type="continuationSeparator" w:id="0">
    <w:p w14:paraId="40C54FA3" w14:textId="77777777" w:rsidR="0089116A" w:rsidRDefault="0089116A" w:rsidP="00811F6F">
      <w:r>
        <w:continuationSeparator/>
      </w:r>
    </w:p>
  </w:footnote>
  <w:footnote w:id="1">
    <w:p w14:paraId="73BFF788" w14:textId="77777777" w:rsidR="00811F6F" w:rsidRPr="00ED1395" w:rsidRDefault="00811F6F" w:rsidP="00811F6F">
      <w:pPr>
        <w:pStyle w:val="FootnoteText"/>
        <w:rPr>
          <w:rFonts w:ascii="Georgia" w:hAnsi="Georgia"/>
          <w:sz w:val="18"/>
          <w:szCs w:val="18"/>
        </w:rPr>
      </w:pPr>
      <w:r>
        <w:rPr>
          <w:rStyle w:val="FootnoteReference"/>
        </w:rPr>
        <w:footnoteRef/>
      </w:r>
      <w:r>
        <w:t xml:space="preserve"> </w:t>
      </w:r>
      <w:r w:rsidRPr="00A56F9E">
        <w:rPr>
          <w:rFonts w:ascii="Georgia" w:hAnsi="Georgia"/>
          <w:sz w:val="18"/>
          <w:szCs w:val="18"/>
        </w:rPr>
        <w:t>Federal Reserve. As of June 17,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A799C"/>
    <w:multiLevelType w:val="hybridMultilevel"/>
    <w:tmpl w:val="497A54C8"/>
    <w:lvl w:ilvl="0" w:tplc="EFD2D064">
      <w:numFmt w:val="bullet"/>
      <w:lvlText w:val="•"/>
      <w:lvlJc w:val="left"/>
      <w:pPr>
        <w:ind w:left="72" w:hanging="360"/>
      </w:pPr>
      <w:rPr>
        <w:rFonts w:ascii="Georgia" w:eastAsiaTheme="minorHAnsi" w:hAnsi="Georgia" w:cstheme="minorBidi"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 w15:restartNumberingAfterBreak="0">
    <w:nsid w:val="5A5111A6"/>
    <w:multiLevelType w:val="hybridMultilevel"/>
    <w:tmpl w:val="F014D776"/>
    <w:lvl w:ilvl="0" w:tplc="1F820146">
      <w:start w:val="1"/>
      <w:numFmt w:val="decimal"/>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num w:numId="1" w16cid:durableId="646400581">
    <w:abstractNumId w:val="0"/>
  </w:num>
  <w:num w:numId="2" w16cid:durableId="113254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F6F"/>
    <w:rsid w:val="002C6FFE"/>
    <w:rsid w:val="00811F6F"/>
    <w:rsid w:val="0089116A"/>
    <w:rsid w:val="00E43BFF"/>
    <w:rsid w:val="00E65C55"/>
    <w:rsid w:val="00FA0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39F2E"/>
  <w15:chartTrackingRefBased/>
  <w15:docId w15:val="{4D1943C3-59BB-4608-BC8B-20D0365DD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F6F"/>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1F6F"/>
    <w:pPr>
      <w:ind w:left="720"/>
      <w:contextualSpacing/>
    </w:pPr>
  </w:style>
  <w:style w:type="paragraph" w:styleId="FootnoteText">
    <w:name w:val="footnote text"/>
    <w:basedOn w:val="Normal"/>
    <w:link w:val="FootnoteTextChar"/>
    <w:uiPriority w:val="99"/>
    <w:semiHidden/>
    <w:unhideWhenUsed/>
    <w:rsid w:val="00811F6F"/>
    <w:rPr>
      <w:sz w:val="20"/>
      <w:szCs w:val="20"/>
    </w:rPr>
  </w:style>
  <w:style w:type="character" w:customStyle="1" w:styleId="FootnoteTextChar">
    <w:name w:val="Footnote Text Char"/>
    <w:basedOn w:val="DefaultParagraphFont"/>
    <w:link w:val="FootnoteText"/>
    <w:uiPriority w:val="99"/>
    <w:semiHidden/>
    <w:rsid w:val="00811F6F"/>
    <w:rPr>
      <w:sz w:val="20"/>
      <w:szCs w:val="20"/>
    </w:rPr>
  </w:style>
  <w:style w:type="character" w:styleId="FootnoteReference">
    <w:name w:val="footnote reference"/>
    <w:basedOn w:val="DefaultParagraphFont"/>
    <w:uiPriority w:val="99"/>
    <w:semiHidden/>
    <w:unhideWhenUsed/>
    <w:rsid w:val="00811F6F"/>
    <w:rPr>
      <w:vertAlign w:val="superscript"/>
    </w:rPr>
  </w:style>
  <w:style w:type="character" w:styleId="Hyperlink">
    <w:name w:val="Hyperlink"/>
    <w:basedOn w:val="DefaultParagraphFont"/>
    <w:uiPriority w:val="99"/>
    <w:unhideWhenUsed/>
    <w:rsid w:val="00811F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latin typeface="Arial" panose="020B0604020202020204" pitchFamily="34" charset="0"/>
                <a:cs typeface="Arial" panose="020B0604020202020204" pitchFamily="34" charset="0"/>
              </a:rPr>
              <a:t>U.S 10-Year Treasury 10 bps or </a:t>
            </a:r>
            <a:br>
              <a:rPr lang="en-US" sz="1000" b="1">
                <a:latin typeface="Arial" panose="020B0604020202020204" pitchFamily="34" charset="0"/>
                <a:cs typeface="Arial" panose="020B0604020202020204" pitchFamily="34" charset="0"/>
              </a:rPr>
            </a:br>
            <a:r>
              <a:rPr lang="en-US" sz="1000" b="1">
                <a:latin typeface="Arial" panose="020B0604020202020204" pitchFamily="34" charset="0"/>
                <a:cs typeface="Arial" panose="020B0604020202020204" pitchFamily="34" charset="0"/>
              </a:rPr>
              <a:t>Greater Move</a:t>
            </a:r>
          </a:p>
        </c:rich>
      </c:tx>
      <c:layout>
        <c:manualLayout>
          <c:xMode val="edge"/>
          <c:yMode val="edge"/>
          <c:x val="0.22883572517145037"/>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71489917109788"/>
          <c:y val="0.16390322118826053"/>
          <c:w val="0.8293700312204485"/>
          <c:h val="0.61446413743736572"/>
        </c:manualLayout>
      </c:layout>
      <c:barChart>
        <c:barDir val="col"/>
        <c:grouping val="clustered"/>
        <c:varyColors val="0"/>
        <c:ser>
          <c:idx val="0"/>
          <c:order val="0"/>
          <c:tx>
            <c:strRef>
              <c:f>'10-year moves'!$B$278:$B$282</c:f>
              <c:strCache>
                <c:ptCount val="5"/>
                <c:pt idx="0">
                  <c:v>YTD 2022</c:v>
                </c:pt>
                <c:pt idx="1">
                  <c:v>2021</c:v>
                </c:pt>
                <c:pt idx="2">
                  <c:v>2020</c:v>
                </c:pt>
                <c:pt idx="3">
                  <c:v>2019</c:v>
                </c:pt>
                <c:pt idx="4">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'10-year moves'!$B$278:$B$282</c:f>
              <c:strCache>
                <c:ptCount val="5"/>
                <c:pt idx="0">
                  <c:v>YTD 2022</c:v>
                </c:pt>
                <c:pt idx="1">
                  <c:v>2021</c:v>
                </c:pt>
                <c:pt idx="2">
                  <c:v>2020</c:v>
                </c:pt>
                <c:pt idx="3">
                  <c:v>2019</c:v>
                </c:pt>
                <c:pt idx="4">
                  <c:v>2018</c:v>
                </c:pt>
              </c:strCache>
            </c:strRef>
          </c:cat>
          <c:val>
            <c:numRef>
              <c:f>'10-year moves'!$C$278:$C$282</c:f>
              <c:numCache>
                <c:formatCode>General</c:formatCode>
                <c:ptCount val="5"/>
                <c:pt idx="0">
                  <c:v>19</c:v>
                </c:pt>
                <c:pt idx="1">
                  <c:v>8</c:v>
                </c:pt>
                <c:pt idx="2">
                  <c:v>14</c:v>
                </c:pt>
                <c:pt idx="3">
                  <c:v>11</c:v>
                </c:pt>
                <c:pt idx="4">
                  <c:v>2</c:v>
                </c:pt>
              </c:numCache>
            </c:numRef>
          </c:val>
          <c:extLst>
            <c:ext xmlns:c16="http://schemas.microsoft.com/office/drawing/2014/chart" uri="{C3380CC4-5D6E-409C-BE32-E72D297353CC}">
              <c16:uniqueId val="{00000000-9E77-4963-9106-F46D536599B3}"/>
            </c:ext>
          </c:extLst>
        </c:ser>
        <c:dLbls>
          <c:dLblPos val="outEnd"/>
          <c:showLegendKey val="0"/>
          <c:showVal val="1"/>
          <c:showCatName val="0"/>
          <c:showSerName val="0"/>
          <c:showPercent val="0"/>
          <c:showBubbleSize val="0"/>
        </c:dLbls>
        <c:gapWidth val="219"/>
        <c:overlap val="-27"/>
        <c:axId val="59160975"/>
        <c:axId val="59161303"/>
      </c:barChart>
      <c:catAx>
        <c:axId val="5916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161303"/>
        <c:crosses val="autoZero"/>
        <c:auto val="1"/>
        <c:lblAlgn val="ctr"/>
        <c:lblOffset val="100"/>
        <c:noMultiLvlLbl val="0"/>
      </c:catAx>
      <c:valAx>
        <c:axId val="59161303"/>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Number of 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9160975"/>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t>CBOE Market Volatility Index ("VIX")</a:t>
            </a:r>
          </a:p>
        </c:rich>
      </c:tx>
      <c:layout>
        <c:manualLayout>
          <c:xMode val="edge"/>
          <c:yMode val="edge"/>
          <c:x val="0.10333686598407679"/>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2446764089013866E-2"/>
          <c:y val="0.11406003159557662"/>
          <c:w val="0.92376302841678126"/>
          <c:h val="0.65531176269933766"/>
        </c:manualLayout>
      </c:layout>
      <c:lineChart>
        <c:grouping val="standard"/>
        <c:varyColors val="0"/>
        <c:ser>
          <c:idx val="0"/>
          <c:order val="0"/>
          <c:spPr>
            <a:ln w="28575" cap="rnd">
              <a:solidFill>
                <a:schemeClr val="accent1"/>
              </a:solidFill>
              <a:round/>
            </a:ln>
            <a:effectLst/>
          </c:spPr>
          <c:marker>
            <c:symbol val="none"/>
          </c:marker>
          <c:cat>
            <c:numRef>
              <c:f>VIX!$A$1312:$A$1428</c:f>
              <c:numCache>
                <c:formatCode>d\-mmm\-yy</c:formatCode>
                <c:ptCount val="117"/>
                <c:pt idx="0">
                  <c:v>44564</c:v>
                </c:pt>
                <c:pt idx="1">
                  <c:v>44565</c:v>
                </c:pt>
                <c:pt idx="2">
                  <c:v>44566</c:v>
                </c:pt>
                <c:pt idx="3">
                  <c:v>44567</c:v>
                </c:pt>
                <c:pt idx="4">
                  <c:v>44568</c:v>
                </c:pt>
                <c:pt idx="5">
                  <c:v>44571</c:v>
                </c:pt>
                <c:pt idx="6">
                  <c:v>44572</c:v>
                </c:pt>
                <c:pt idx="7">
                  <c:v>44573</c:v>
                </c:pt>
                <c:pt idx="8">
                  <c:v>44574</c:v>
                </c:pt>
                <c:pt idx="9">
                  <c:v>44575</c:v>
                </c:pt>
                <c:pt idx="10">
                  <c:v>44578</c:v>
                </c:pt>
                <c:pt idx="11">
                  <c:v>44579</c:v>
                </c:pt>
                <c:pt idx="12">
                  <c:v>44580</c:v>
                </c:pt>
                <c:pt idx="13">
                  <c:v>44581</c:v>
                </c:pt>
                <c:pt idx="14">
                  <c:v>44582</c:v>
                </c:pt>
                <c:pt idx="15">
                  <c:v>44585</c:v>
                </c:pt>
                <c:pt idx="16">
                  <c:v>44586</c:v>
                </c:pt>
                <c:pt idx="17">
                  <c:v>44587</c:v>
                </c:pt>
                <c:pt idx="18">
                  <c:v>44588</c:v>
                </c:pt>
                <c:pt idx="19">
                  <c:v>44589</c:v>
                </c:pt>
                <c:pt idx="20">
                  <c:v>44592</c:v>
                </c:pt>
                <c:pt idx="21">
                  <c:v>44593</c:v>
                </c:pt>
                <c:pt idx="22">
                  <c:v>44594</c:v>
                </c:pt>
                <c:pt idx="23">
                  <c:v>44595</c:v>
                </c:pt>
                <c:pt idx="24">
                  <c:v>44596</c:v>
                </c:pt>
                <c:pt idx="25">
                  <c:v>44599</c:v>
                </c:pt>
                <c:pt idx="26">
                  <c:v>44600</c:v>
                </c:pt>
                <c:pt idx="27">
                  <c:v>44601</c:v>
                </c:pt>
                <c:pt idx="28">
                  <c:v>44602</c:v>
                </c:pt>
                <c:pt idx="29">
                  <c:v>44603</c:v>
                </c:pt>
                <c:pt idx="30">
                  <c:v>44606</c:v>
                </c:pt>
                <c:pt idx="31">
                  <c:v>44607</c:v>
                </c:pt>
                <c:pt idx="32">
                  <c:v>44608</c:v>
                </c:pt>
                <c:pt idx="33">
                  <c:v>44609</c:v>
                </c:pt>
                <c:pt idx="34">
                  <c:v>44610</c:v>
                </c:pt>
                <c:pt idx="35">
                  <c:v>44613</c:v>
                </c:pt>
                <c:pt idx="36">
                  <c:v>44614</c:v>
                </c:pt>
                <c:pt idx="37">
                  <c:v>44615</c:v>
                </c:pt>
                <c:pt idx="38">
                  <c:v>44616</c:v>
                </c:pt>
                <c:pt idx="39">
                  <c:v>44617</c:v>
                </c:pt>
                <c:pt idx="40">
                  <c:v>44620</c:v>
                </c:pt>
                <c:pt idx="41">
                  <c:v>44621</c:v>
                </c:pt>
                <c:pt idx="42">
                  <c:v>44622</c:v>
                </c:pt>
                <c:pt idx="43">
                  <c:v>44623</c:v>
                </c:pt>
                <c:pt idx="44">
                  <c:v>44624</c:v>
                </c:pt>
                <c:pt idx="45">
                  <c:v>44627</c:v>
                </c:pt>
                <c:pt idx="46">
                  <c:v>44628</c:v>
                </c:pt>
                <c:pt idx="47">
                  <c:v>44629</c:v>
                </c:pt>
                <c:pt idx="48">
                  <c:v>44630</c:v>
                </c:pt>
                <c:pt idx="49">
                  <c:v>44631</c:v>
                </c:pt>
                <c:pt idx="50">
                  <c:v>44634</c:v>
                </c:pt>
                <c:pt idx="51">
                  <c:v>44635</c:v>
                </c:pt>
                <c:pt idx="52">
                  <c:v>44636</c:v>
                </c:pt>
                <c:pt idx="53">
                  <c:v>44637</c:v>
                </c:pt>
                <c:pt idx="54">
                  <c:v>44638</c:v>
                </c:pt>
                <c:pt idx="55">
                  <c:v>44641</c:v>
                </c:pt>
                <c:pt idx="56">
                  <c:v>44642</c:v>
                </c:pt>
                <c:pt idx="57">
                  <c:v>44643</c:v>
                </c:pt>
                <c:pt idx="58">
                  <c:v>44644</c:v>
                </c:pt>
                <c:pt idx="59">
                  <c:v>44645</c:v>
                </c:pt>
                <c:pt idx="60">
                  <c:v>44648</c:v>
                </c:pt>
                <c:pt idx="61">
                  <c:v>44649</c:v>
                </c:pt>
                <c:pt idx="62">
                  <c:v>44650</c:v>
                </c:pt>
                <c:pt idx="63">
                  <c:v>44651</c:v>
                </c:pt>
                <c:pt idx="64">
                  <c:v>44652</c:v>
                </c:pt>
                <c:pt idx="65">
                  <c:v>44655</c:v>
                </c:pt>
                <c:pt idx="66">
                  <c:v>44656</c:v>
                </c:pt>
                <c:pt idx="67">
                  <c:v>44657</c:v>
                </c:pt>
                <c:pt idx="68">
                  <c:v>44658</c:v>
                </c:pt>
                <c:pt idx="69">
                  <c:v>44659</c:v>
                </c:pt>
                <c:pt idx="70">
                  <c:v>44662</c:v>
                </c:pt>
                <c:pt idx="71">
                  <c:v>44663</c:v>
                </c:pt>
                <c:pt idx="72">
                  <c:v>44664</c:v>
                </c:pt>
                <c:pt idx="73">
                  <c:v>44665</c:v>
                </c:pt>
                <c:pt idx="74">
                  <c:v>44666</c:v>
                </c:pt>
                <c:pt idx="75">
                  <c:v>44669</c:v>
                </c:pt>
                <c:pt idx="76">
                  <c:v>44670</c:v>
                </c:pt>
                <c:pt idx="77">
                  <c:v>44671</c:v>
                </c:pt>
                <c:pt idx="78">
                  <c:v>44672</c:v>
                </c:pt>
                <c:pt idx="79">
                  <c:v>44673</c:v>
                </c:pt>
                <c:pt idx="80">
                  <c:v>44676</c:v>
                </c:pt>
                <c:pt idx="81">
                  <c:v>44677</c:v>
                </c:pt>
                <c:pt idx="82">
                  <c:v>44678</c:v>
                </c:pt>
                <c:pt idx="83">
                  <c:v>44679</c:v>
                </c:pt>
                <c:pt idx="84">
                  <c:v>44680</c:v>
                </c:pt>
                <c:pt idx="85">
                  <c:v>44683</c:v>
                </c:pt>
                <c:pt idx="86">
                  <c:v>44684</c:v>
                </c:pt>
                <c:pt idx="87">
                  <c:v>44685</c:v>
                </c:pt>
                <c:pt idx="88">
                  <c:v>44686</c:v>
                </c:pt>
                <c:pt idx="89">
                  <c:v>44687</c:v>
                </c:pt>
                <c:pt idx="90">
                  <c:v>44690</c:v>
                </c:pt>
                <c:pt idx="91">
                  <c:v>44691</c:v>
                </c:pt>
                <c:pt idx="92">
                  <c:v>44692</c:v>
                </c:pt>
                <c:pt idx="93">
                  <c:v>44693</c:v>
                </c:pt>
                <c:pt idx="94">
                  <c:v>44694</c:v>
                </c:pt>
                <c:pt idx="95">
                  <c:v>44697</c:v>
                </c:pt>
                <c:pt idx="96">
                  <c:v>44698</c:v>
                </c:pt>
                <c:pt idx="97">
                  <c:v>44699</c:v>
                </c:pt>
                <c:pt idx="98">
                  <c:v>44700</c:v>
                </c:pt>
                <c:pt idx="99">
                  <c:v>44701</c:v>
                </c:pt>
                <c:pt idx="100">
                  <c:v>44704</c:v>
                </c:pt>
                <c:pt idx="101">
                  <c:v>44705</c:v>
                </c:pt>
                <c:pt idx="102">
                  <c:v>44706</c:v>
                </c:pt>
                <c:pt idx="103">
                  <c:v>44707</c:v>
                </c:pt>
                <c:pt idx="104">
                  <c:v>44708</c:v>
                </c:pt>
                <c:pt idx="105">
                  <c:v>44711</c:v>
                </c:pt>
                <c:pt idx="106">
                  <c:v>44712</c:v>
                </c:pt>
                <c:pt idx="107">
                  <c:v>44713</c:v>
                </c:pt>
                <c:pt idx="108">
                  <c:v>44714</c:v>
                </c:pt>
                <c:pt idx="109">
                  <c:v>44715</c:v>
                </c:pt>
                <c:pt idx="110">
                  <c:v>44718</c:v>
                </c:pt>
                <c:pt idx="111">
                  <c:v>44719</c:v>
                </c:pt>
                <c:pt idx="112">
                  <c:v>44720</c:v>
                </c:pt>
                <c:pt idx="113">
                  <c:v>44721</c:v>
                </c:pt>
                <c:pt idx="114">
                  <c:v>44722</c:v>
                </c:pt>
                <c:pt idx="115">
                  <c:v>44725</c:v>
                </c:pt>
                <c:pt idx="116">
                  <c:v>44726</c:v>
                </c:pt>
              </c:numCache>
            </c:numRef>
          </c:cat>
          <c:val>
            <c:numRef>
              <c:f>VIX!$B$1312:$B$1428</c:f>
              <c:numCache>
                <c:formatCode>General</c:formatCode>
                <c:ptCount val="117"/>
                <c:pt idx="0">
                  <c:v>16.600000000000001</c:v>
                </c:pt>
                <c:pt idx="1">
                  <c:v>16.91</c:v>
                </c:pt>
                <c:pt idx="2">
                  <c:v>19.73</c:v>
                </c:pt>
                <c:pt idx="3">
                  <c:v>19.61</c:v>
                </c:pt>
                <c:pt idx="4">
                  <c:v>18.760000000000002</c:v>
                </c:pt>
                <c:pt idx="5">
                  <c:v>19.399999999999999</c:v>
                </c:pt>
                <c:pt idx="6">
                  <c:v>18.41</c:v>
                </c:pt>
                <c:pt idx="7">
                  <c:v>17.62</c:v>
                </c:pt>
                <c:pt idx="8">
                  <c:v>20.309999999999999</c:v>
                </c:pt>
                <c:pt idx="9">
                  <c:v>19.190000000000001</c:v>
                </c:pt>
                <c:pt idx="10">
                  <c:v>19.190000000000001</c:v>
                </c:pt>
                <c:pt idx="11">
                  <c:v>22.79</c:v>
                </c:pt>
                <c:pt idx="12">
                  <c:v>23.85</c:v>
                </c:pt>
                <c:pt idx="13">
                  <c:v>25.59</c:v>
                </c:pt>
                <c:pt idx="14">
                  <c:v>28.85</c:v>
                </c:pt>
                <c:pt idx="15">
                  <c:v>29.9</c:v>
                </c:pt>
                <c:pt idx="16">
                  <c:v>31.16</c:v>
                </c:pt>
                <c:pt idx="17">
                  <c:v>31.96</c:v>
                </c:pt>
                <c:pt idx="18">
                  <c:v>30.49</c:v>
                </c:pt>
                <c:pt idx="19">
                  <c:v>27.66</c:v>
                </c:pt>
                <c:pt idx="20">
                  <c:v>24.83</c:v>
                </c:pt>
                <c:pt idx="21">
                  <c:v>21.96</c:v>
                </c:pt>
                <c:pt idx="22">
                  <c:v>22.09</c:v>
                </c:pt>
                <c:pt idx="23">
                  <c:v>24.35</c:v>
                </c:pt>
                <c:pt idx="24">
                  <c:v>23.22</c:v>
                </c:pt>
                <c:pt idx="25">
                  <c:v>22.86</c:v>
                </c:pt>
                <c:pt idx="26">
                  <c:v>21.44</c:v>
                </c:pt>
                <c:pt idx="27">
                  <c:v>19.96</c:v>
                </c:pt>
                <c:pt idx="28">
                  <c:v>23.91</c:v>
                </c:pt>
                <c:pt idx="29">
                  <c:v>27.36</c:v>
                </c:pt>
                <c:pt idx="30">
                  <c:v>28.33</c:v>
                </c:pt>
                <c:pt idx="31">
                  <c:v>25.7</c:v>
                </c:pt>
                <c:pt idx="32">
                  <c:v>24.29</c:v>
                </c:pt>
                <c:pt idx="33">
                  <c:v>28.11</c:v>
                </c:pt>
                <c:pt idx="34">
                  <c:v>27.75</c:v>
                </c:pt>
                <c:pt idx="35">
                  <c:v>27.75</c:v>
                </c:pt>
                <c:pt idx="36">
                  <c:v>28.81</c:v>
                </c:pt>
                <c:pt idx="37">
                  <c:v>31.02</c:v>
                </c:pt>
                <c:pt idx="38">
                  <c:v>30.32</c:v>
                </c:pt>
                <c:pt idx="39">
                  <c:v>27.59</c:v>
                </c:pt>
                <c:pt idx="40">
                  <c:v>30.15</c:v>
                </c:pt>
                <c:pt idx="41">
                  <c:v>33.32</c:v>
                </c:pt>
                <c:pt idx="42">
                  <c:v>30.74</c:v>
                </c:pt>
                <c:pt idx="43">
                  <c:v>30.48</c:v>
                </c:pt>
                <c:pt idx="44">
                  <c:v>31.98</c:v>
                </c:pt>
                <c:pt idx="45">
                  <c:v>36.450000000000003</c:v>
                </c:pt>
                <c:pt idx="46">
                  <c:v>35.130000000000003</c:v>
                </c:pt>
                <c:pt idx="47">
                  <c:v>32.450000000000003</c:v>
                </c:pt>
                <c:pt idx="48">
                  <c:v>30.23</c:v>
                </c:pt>
                <c:pt idx="49">
                  <c:v>30.75</c:v>
                </c:pt>
                <c:pt idx="50">
                  <c:v>31.77</c:v>
                </c:pt>
                <c:pt idx="51">
                  <c:v>29.83</c:v>
                </c:pt>
                <c:pt idx="52">
                  <c:v>26.67</c:v>
                </c:pt>
                <c:pt idx="53">
                  <c:v>25.67</c:v>
                </c:pt>
                <c:pt idx="54">
                  <c:v>23.87</c:v>
                </c:pt>
                <c:pt idx="55">
                  <c:v>23.53</c:v>
                </c:pt>
                <c:pt idx="56">
                  <c:v>22.94</c:v>
                </c:pt>
                <c:pt idx="57">
                  <c:v>23.57</c:v>
                </c:pt>
                <c:pt idx="58">
                  <c:v>21.67</c:v>
                </c:pt>
                <c:pt idx="59">
                  <c:v>20.81</c:v>
                </c:pt>
                <c:pt idx="60">
                  <c:v>19.63</c:v>
                </c:pt>
                <c:pt idx="61">
                  <c:v>18.899999999999999</c:v>
                </c:pt>
                <c:pt idx="62">
                  <c:v>19.329999999999998</c:v>
                </c:pt>
                <c:pt idx="63">
                  <c:v>20.56</c:v>
                </c:pt>
                <c:pt idx="64">
                  <c:v>19.63</c:v>
                </c:pt>
                <c:pt idx="65">
                  <c:v>18.57</c:v>
                </c:pt>
                <c:pt idx="66">
                  <c:v>21.03</c:v>
                </c:pt>
                <c:pt idx="67">
                  <c:v>22.1</c:v>
                </c:pt>
                <c:pt idx="68">
                  <c:v>21.55</c:v>
                </c:pt>
                <c:pt idx="69">
                  <c:v>21.16</c:v>
                </c:pt>
                <c:pt idx="70">
                  <c:v>24.37</c:v>
                </c:pt>
                <c:pt idx="71">
                  <c:v>24.26</c:v>
                </c:pt>
                <c:pt idx="72">
                  <c:v>21.82</c:v>
                </c:pt>
                <c:pt idx="73">
                  <c:v>22.7</c:v>
                </c:pt>
                <c:pt idx="74">
                  <c:v>22.7</c:v>
                </c:pt>
                <c:pt idx="75">
                  <c:v>22.17</c:v>
                </c:pt>
                <c:pt idx="76">
                  <c:v>21.37</c:v>
                </c:pt>
                <c:pt idx="77">
                  <c:v>20.32</c:v>
                </c:pt>
                <c:pt idx="78">
                  <c:v>22.68</c:v>
                </c:pt>
                <c:pt idx="79">
                  <c:v>28.21</c:v>
                </c:pt>
                <c:pt idx="80">
                  <c:v>27.02</c:v>
                </c:pt>
                <c:pt idx="81">
                  <c:v>33.520000000000003</c:v>
                </c:pt>
                <c:pt idx="82">
                  <c:v>31.6</c:v>
                </c:pt>
                <c:pt idx="83">
                  <c:v>29.99</c:v>
                </c:pt>
                <c:pt idx="84">
                  <c:v>33.4</c:v>
                </c:pt>
                <c:pt idx="85">
                  <c:v>32.340000000000003</c:v>
                </c:pt>
                <c:pt idx="86">
                  <c:v>29.25</c:v>
                </c:pt>
                <c:pt idx="87">
                  <c:v>25.42</c:v>
                </c:pt>
                <c:pt idx="88">
                  <c:v>31.2</c:v>
                </c:pt>
                <c:pt idx="89">
                  <c:v>30.19</c:v>
                </c:pt>
                <c:pt idx="90">
                  <c:v>34.75</c:v>
                </c:pt>
                <c:pt idx="91">
                  <c:v>32.99</c:v>
                </c:pt>
                <c:pt idx="92">
                  <c:v>32.56</c:v>
                </c:pt>
                <c:pt idx="93">
                  <c:v>31.77</c:v>
                </c:pt>
                <c:pt idx="94">
                  <c:v>28.87</c:v>
                </c:pt>
                <c:pt idx="95">
                  <c:v>27.47</c:v>
                </c:pt>
                <c:pt idx="96">
                  <c:v>26.1</c:v>
                </c:pt>
                <c:pt idx="97">
                  <c:v>30.96</c:v>
                </c:pt>
                <c:pt idx="98">
                  <c:v>29.35</c:v>
                </c:pt>
                <c:pt idx="99">
                  <c:v>29.43</c:v>
                </c:pt>
                <c:pt idx="100">
                  <c:v>28.48</c:v>
                </c:pt>
                <c:pt idx="101">
                  <c:v>29.45</c:v>
                </c:pt>
                <c:pt idx="102">
                  <c:v>28.37</c:v>
                </c:pt>
                <c:pt idx="103">
                  <c:v>27.5</c:v>
                </c:pt>
                <c:pt idx="104">
                  <c:v>25.72</c:v>
                </c:pt>
                <c:pt idx="105">
                  <c:v>25.72</c:v>
                </c:pt>
                <c:pt idx="106">
                  <c:v>26.19</c:v>
                </c:pt>
                <c:pt idx="107">
                  <c:v>25.69</c:v>
                </c:pt>
                <c:pt idx="108">
                  <c:v>24.72</c:v>
                </c:pt>
                <c:pt idx="109">
                  <c:v>24.79</c:v>
                </c:pt>
                <c:pt idx="110">
                  <c:v>25.07</c:v>
                </c:pt>
                <c:pt idx="111">
                  <c:v>24.02</c:v>
                </c:pt>
                <c:pt idx="112">
                  <c:v>23.96</c:v>
                </c:pt>
                <c:pt idx="113">
                  <c:v>26.09</c:v>
                </c:pt>
                <c:pt idx="114">
                  <c:v>27.75</c:v>
                </c:pt>
                <c:pt idx="115">
                  <c:v>34.020000000000003</c:v>
                </c:pt>
                <c:pt idx="116">
                  <c:v>34.020000000000003</c:v>
                </c:pt>
              </c:numCache>
            </c:numRef>
          </c:val>
          <c:smooth val="0"/>
          <c:extLst>
            <c:ext xmlns:c16="http://schemas.microsoft.com/office/drawing/2014/chart" uri="{C3380CC4-5D6E-409C-BE32-E72D297353CC}">
              <c16:uniqueId val="{00000000-661E-4330-A2E9-B00BE0F43895}"/>
            </c:ext>
          </c:extLst>
        </c:ser>
        <c:ser>
          <c:idx val="1"/>
          <c:order val="1"/>
          <c:spPr>
            <a:ln w="19050" cap="rnd">
              <a:solidFill>
                <a:schemeClr val="accent2"/>
              </a:solidFill>
              <a:prstDash val="dash"/>
              <a:round/>
            </a:ln>
            <a:effectLst/>
          </c:spPr>
          <c:marker>
            <c:symbol val="none"/>
          </c:marker>
          <c:cat>
            <c:numRef>
              <c:f>VIX!$A$1312:$A$1428</c:f>
              <c:numCache>
                <c:formatCode>d\-mmm\-yy</c:formatCode>
                <c:ptCount val="117"/>
                <c:pt idx="0">
                  <c:v>44564</c:v>
                </c:pt>
                <c:pt idx="1">
                  <c:v>44565</c:v>
                </c:pt>
                <c:pt idx="2">
                  <c:v>44566</c:v>
                </c:pt>
                <c:pt idx="3">
                  <c:v>44567</c:v>
                </c:pt>
                <c:pt idx="4">
                  <c:v>44568</c:v>
                </c:pt>
                <c:pt idx="5">
                  <c:v>44571</c:v>
                </c:pt>
                <c:pt idx="6">
                  <c:v>44572</c:v>
                </c:pt>
                <c:pt idx="7">
                  <c:v>44573</c:v>
                </c:pt>
                <c:pt idx="8">
                  <c:v>44574</c:v>
                </c:pt>
                <c:pt idx="9">
                  <c:v>44575</c:v>
                </c:pt>
                <c:pt idx="10">
                  <c:v>44578</c:v>
                </c:pt>
                <c:pt idx="11">
                  <c:v>44579</c:v>
                </c:pt>
                <c:pt idx="12">
                  <c:v>44580</c:v>
                </c:pt>
                <c:pt idx="13">
                  <c:v>44581</c:v>
                </c:pt>
                <c:pt idx="14">
                  <c:v>44582</c:v>
                </c:pt>
                <c:pt idx="15">
                  <c:v>44585</c:v>
                </c:pt>
                <c:pt idx="16">
                  <c:v>44586</c:v>
                </c:pt>
                <c:pt idx="17">
                  <c:v>44587</c:v>
                </c:pt>
                <c:pt idx="18">
                  <c:v>44588</c:v>
                </c:pt>
                <c:pt idx="19">
                  <c:v>44589</c:v>
                </c:pt>
                <c:pt idx="20">
                  <c:v>44592</c:v>
                </c:pt>
                <c:pt idx="21">
                  <c:v>44593</c:v>
                </c:pt>
                <c:pt idx="22">
                  <c:v>44594</c:v>
                </c:pt>
                <c:pt idx="23">
                  <c:v>44595</c:v>
                </c:pt>
                <c:pt idx="24">
                  <c:v>44596</c:v>
                </c:pt>
                <c:pt idx="25">
                  <c:v>44599</c:v>
                </c:pt>
                <c:pt idx="26">
                  <c:v>44600</c:v>
                </c:pt>
                <c:pt idx="27">
                  <c:v>44601</c:v>
                </c:pt>
                <c:pt idx="28">
                  <c:v>44602</c:v>
                </c:pt>
                <c:pt idx="29">
                  <c:v>44603</c:v>
                </c:pt>
                <c:pt idx="30">
                  <c:v>44606</c:v>
                </c:pt>
                <c:pt idx="31">
                  <c:v>44607</c:v>
                </c:pt>
                <c:pt idx="32">
                  <c:v>44608</c:v>
                </c:pt>
                <c:pt idx="33">
                  <c:v>44609</c:v>
                </c:pt>
                <c:pt idx="34">
                  <c:v>44610</c:v>
                </c:pt>
                <c:pt idx="35">
                  <c:v>44613</c:v>
                </c:pt>
                <c:pt idx="36">
                  <c:v>44614</c:v>
                </c:pt>
                <c:pt idx="37">
                  <c:v>44615</c:v>
                </c:pt>
                <c:pt idx="38">
                  <c:v>44616</c:v>
                </c:pt>
                <c:pt idx="39">
                  <c:v>44617</c:v>
                </c:pt>
                <c:pt idx="40">
                  <c:v>44620</c:v>
                </c:pt>
                <c:pt idx="41">
                  <c:v>44621</c:v>
                </c:pt>
                <c:pt idx="42">
                  <c:v>44622</c:v>
                </c:pt>
                <c:pt idx="43">
                  <c:v>44623</c:v>
                </c:pt>
                <c:pt idx="44">
                  <c:v>44624</c:v>
                </c:pt>
                <c:pt idx="45">
                  <c:v>44627</c:v>
                </c:pt>
                <c:pt idx="46">
                  <c:v>44628</c:v>
                </c:pt>
                <c:pt idx="47">
                  <c:v>44629</c:v>
                </c:pt>
                <c:pt idx="48">
                  <c:v>44630</c:v>
                </c:pt>
                <c:pt idx="49">
                  <c:v>44631</c:v>
                </c:pt>
                <c:pt idx="50">
                  <c:v>44634</c:v>
                </c:pt>
                <c:pt idx="51">
                  <c:v>44635</c:v>
                </c:pt>
                <c:pt idx="52">
                  <c:v>44636</c:v>
                </c:pt>
                <c:pt idx="53">
                  <c:v>44637</c:v>
                </c:pt>
                <c:pt idx="54">
                  <c:v>44638</c:v>
                </c:pt>
                <c:pt idx="55">
                  <c:v>44641</c:v>
                </c:pt>
                <c:pt idx="56">
                  <c:v>44642</c:v>
                </c:pt>
                <c:pt idx="57">
                  <c:v>44643</c:v>
                </c:pt>
                <c:pt idx="58">
                  <c:v>44644</c:v>
                </c:pt>
                <c:pt idx="59">
                  <c:v>44645</c:v>
                </c:pt>
                <c:pt idx="60">
                  <c:v>44648</c:v>
                </c:pt>
                <c:pt idx="61">
                  <c:v>44649</c:v>
                </c:pt>
                <c:pt idx="62">
                  <c:v>44650</c:v>
                </c:pt>
                <c:pt idx="63">
                  <c:v>44651</c:v>
                </c:pt>
                <c:pt idx="64">
                  <c:v>44652</c:v>
                </c:pt>
                <c:pt idx="65">
                  <c:v>44655</c:v>
                </c:pt>
                <c:pt idx="66">
                  <c:v>44656</c:v>
                </c:pt>
                <c:pt idx="67">
                  <c:v>44657</c:v>
                </c:pt>
                <c:pt idx="68">
                  <c:v>44658</c:v>
                </c:pt>
                <c:pt idx="69">
                  <c:v>44659</c:v>
                </c:pt>
                <c:pt idx="70">
                  <c:v>44662</c:v>
                </c:pt>
                <c:pt idx="71">
                  <c:v>44663</c:v>
                </c:pt>
                <c:pt idx="72">
                  <c:v>44664</c:v>
                </c:pt>
                <c:pt idx="73">
                  <c:v>44665</c:v>
                </c:pt>
                <c:pt idx="74">
                  <c:v>44666</c:v>
                </c:pt>
                <c:pt idx="75">
                  <c:v>44669</c:v>
                </c:pt>
                <c:pt idx="76">
                  <c:v>44670</c:v>
                </c:pt>
                <c:pt idx="77">
                  <c:v>44671</c:v>
                </c:pt>
                <c:pt idx="78">
                  <c:v>44672</c:v>
                </c:pt>
                <c:pt idx="79">
                  <c:v>44673</c:v>
                </c:pt>
                <c:pt idx="80">
                  <c:v>44676</c:v>
                </c:pt>
                <c:pt idx="81">
                  <c:v>44677</c:v>
                </c:pt>
                <c:pt idx="82">
                  <c:v>44678</c:v>
                </c:pt>
                <c:pt idx="83">
                  <c:v>44679</c:v>
                </c:pt>
                <c:pt idx="84">
                  <c:v>44680</c:v>
                </c:pt>
                <c:pt idx="85">
                  <c:v>44683</c:v>
                </c:pt>
                <c:pt idx="86">
                  <c:v>44684</c:v>
                </c:pt>
                <c:pt idx="87">
                  <c:v>44685</c:v>
                </c:pt>
                <c:pt idx="88">
                  <c:v>44686</c:v>
                </c:pt>
                <c:pt idx="89">
                  <c:v>44687</c:v>
                </c:pt>
                <c:pt idx="90">
                  <c:v>44690</c:v>
                </c:pt>
                <c:pt idx="91">
                  <c:v>44691</c:v>
                </c:pt>
                <c:pt idx="92">
                  <c:v>44692</c:v>
                </c:pt>
                <c:pt idx="93">
                  <c:v>44693</c:v>
                </c:pt>
                <c:pt idx="94">
                  <c:v>44694</c:v>
                </c:pt>
                <c:pt idx="95">
                  <c:v>44697</c:v>
                </c:pt>
                <c:pt idx="96">
                  <c:v>44698</c:v>
                </c:pt>
                <c:pt idx="97">
                  <c:v>44699</c:v>
                </c:pt>
                <c:pt idx="98">
                  <c:v>44700</c:v>
                </c:pt>
                <c:pt idx="99">
                  <c:v>44701</c:v>
                </c:pt>
                <c:pt idx="100">
                  <c:v>44704</c:v>
                </c:pt>
                <c:pt idx="101">
                  <c:v>44705</c:v>
                </c:pt>
                <c:pt idx="102">
                  <c:v>44706</c:v>
                </c:pt>
                <c:pt idx="103">
                  <c:v>44707</c:v>
                </c:pt>
                <c:pt idx="104">
                  <c:v>44708</c:v>
                </c:pt>
                <c:pt idx="105">
                  <c:v>44711</c:v>
                </c:pt>
                <c:pt idx="106">
                  <c:v>44712</c:v>
                </c:pt>
                <c:pt idx="107">
                  <c:v>44713</c:v>
                </c:pt>
                <c:pt idx="108">
                  <c:v>44714</c:v>
                </c:pt>
                <c:pt idx="109">
                  <c:v>44715</c:v>
                </c:pt>
                <c:pt idx="110">
                  <c:v>44718</c:v>
                </c:pt>
                <c:pt idx="111">
                  <c:v>44719</c:v>
                </c:pt>
                <c:pt idx="112">
                  <c:v>44720</c:v>
                </c:pt>
                <c:pt idx="113">
                  <c:v>44721</c:v>
                </c:pt>
                <c:pt idx="114">
                  <c:v>44722</c:v>
                </c:pt>
                <c:pt idx="115">
                  <c:v>44725</c:v>
                </c:pt>
                <c:pt idx="116">
                  <c:v>44726</c:v>
                </c:pt>
              </c:numCache>
            </c:numRef>
          </c:cat>
          <c:val>
            <c:numRef>
              <c:f>VIX!$C$1312:$C$1428</c:f>
              <c:numCache>
                <c:formatCode>General</c:formatCode>
                <c:ptCount val="117"/>
                <c:pt idx="0">
                  <c:v>26.020854700854688</c:v>
                </c:pt>
                <c:pt idx="1">
                  <c:v>26.020854700854688</c:v>
                </c:pt>
                <c:pt idx="2">
                  <c:v>26.020854700854688</c:v>
                </c:pt>
                <c:pt idx="3">
                  <c:v>26.020854700854688</c:v>
                </c:pt>
                <c:pt idx="4">
                  <c:v>26.020854700854688</c:v>
                </c:pt>
                <c:pt idx="5">
                  <c:v>26.020854700854688</c:v>
                </c:pt>
                <c:pt idx="6">
                  <c:v>26.020854700854688</c:v>
                </c:pt>
                <c:pt idx="7">
                  <c:v>26.020854700854688</c:v>
                </c:pt>
                <c:pt idx="8">
                  <c:v>26.020854700854688</c:v>
                </c:pt>
                <c:pt idx="9">
                  <c:v>26.020854700854688</c:v>
                </c:pt>
                <c:pt idx="10">
                  <c:v>26.020854700854688</c:v>
                </c:pt>
                <c:pt idx="11">
                  <c:v>26.020854700854688</c:v>
                </c:pt>
                <c:pt idx="12">
                  <c:v>26.020854700854688</c:v>
                </c:pt>
                <c:pt idx="13">
                  <c:v>26.020854700854688</c:v>
                </c:pt>
                <c:pt idx="14">
                  <c:v>26.020854700854688</c:v>
                </c:pt>
                <c:pt idx="15">
                  <c:v>26.020854700854688</c:v>
                </c:pt>
                <c:pt idx="16">
                  <c:v>26.020854700854688</c:v>
                </c:pt>
                <c:pt idx="17">
                  <c:v>26.020854700854688</c:v>
                </c:pt>
                <c:pt idx="18">
                  <c:v>26.020854700854688</c:v>
                </c:pt>
                <c:pt idx="19">
                  <c:v>26.020854700854688</c:v>
                </c:pt>
                <c:pt idx="20">
                  <c:v>26.020854700854688</c:v>
                </c:pt>
                <c:pt idx="21">
                  <c:v>26.020854700854688</c:v>
                </c:pt>
                <c:pt idx="22">
                  <c:v>26.020854700854688</c:v>
                </c:pt>
                <c:pt idx="23">
                  <c:v>26.020854700854688</c:v>
                </c:pt>
                <c:pt idx="24">
                  <c:v>26.020854700854688</c:v>
                </c:pt>
                <c:pt idx="25">
                  <c:v>26.020854700854688</c:v>
                </c:pt>
                <c:pt idx="26">
                  <c:v>26.020854700854688</c:v>
                </c:pt>
                <c:pt idx="27">
                  <c:v>26.020854700854688</c:v>
                </c:pt>
                <c:pt idx="28">
                  <c:v>26.020854700854688</c:v>
                </c:pt>
                <c:pt idx="29">
                  <c:v>26.020854700854688</c:v>
                </c:pt>
                <c:pt idx="30">
                  <c:v>26.020854700854688</c:v>
                </c:pt>
                <c:pt idx="31">
                  <c:v>26.020854700854688</c:v>
                </c:pt>
                <c:pt idx="32">
                  <c:v>26.020854700854688</c:v>
                </c:pt>
                <c:pt idx="33">
                  <c:v>26.020854700854688</c:v>
                </c:pt>
                <c:pt idx="34">
                  <c:v>26.020854700854688</c:v>
                </c:pt>
                <c:pt idx="35">
                  <c:v>26.020854700854688</c:v>
                </c:pt>
                <c:pt idx="36">
                  <c:v>26.020854700854688</c:v>
                </c:pt>
                <c:pt idx="37">
                  <c:v>26.020854700854688</c:v>
                </c:pt>
                <c:pt idx="38">
                  <c:v>26.020854700854688</c:v>
                </c:pt>
                <c:pt idx="39">
                  <c:v>26.020854700854688</c:v>
                </c:pt>
                <c:pt idx="40">
                  <c:v>26.020854700854688</c:v>
                </c:pt>
                <c:pt idx="41">
                  <c:v>26.020854700854688</c:v>
                </c:pt>
                <c:pt idx="42">
                  <c:v>26.020854700854688</c:v>
                </c:pt>
                <c:pt idx="43">
                  <c:v>26.020854700854688</c:v>
                </c:pt>
                <c:pt idx="44">
                  <c:v>26.020854700854688</c:v>
                </c:pt>
                <c:pt idx="45">
                  <c:v>26.020854700854688</c:v>
                </c:pt>
                <c:pt idx="46">
                  <c:v>26.020854700854688</c:v>
                </c:pt>
                <c:pt idx="47">
                  <c:v>26.020854700854688</c:v>
                </c:pt>
                <c:pt idx="48">
                  <c:v>26.020854700854688</c:v>
                </c:pt>
                <c:pt idx="49">
                  <c:v>26.020854700854688</c:v>
                </c:pt>
                <c:pt idx="50">
                  <c:v>26.020854700854688</c:v>
                </c:pt>
                <c:pt idx="51">
                  <c:v>26.020854700854688</c:v>
                </c:pt>
                <c:pt idx="52">
                  <c:v>26.020854700854688</c:v>
                </c:pt>
                <c:pt idx="53">
                  <c:v>26.020854700854688</c:v>
                </c:pt>
                <c:pt idx="54">
                  <c:v>26.020854700854688</c:v>
                </c:pt>
                <c:pt idx="55">
                  <c:v>26.020854700854688</c:v>
                </c:pt>
                <c:pt idx="56">
                  <c:v>26.020854700854688</c:v>
                </c:pt>
                <c:pt idx="57">
                  <c:v>26.020854700854688</c:v>
                </c:pt>
                <c:pt idx="58">
                  <c:v>26.020854700854688</c:v>
                </c:pt>
                <c:pt idx="59">
                  <c:v>26.020854700854688</c:v>
                </c:pt>
                <c:pt idx="60">
                  <c:v>26.020854700854688</c:v>
                </c:pt>
                <c:pt idx="61">
                  <c:v>26.020854700854688</c:v>
                </c:pt>
                <c:pt idx="62">
                  <c:v>26.020854700854688</c:v>
                </c:pt>
                <c:pt idx="63">
                  <c:v>26.020854700854688</c:v>
                </c:pt>
                <c:pt idx="64">
                  <c:v>26.020854700854688</c:v>
                </c:pt>
                <c:pt idx="65">
                  <c:v>26.020854700854688</c:v>
                </c:pt>
                <c:pt idx="66">
                  <c:v>26.020854700854688</c:v>
                </c:pt>
                <c:pt idx="67">
                  <c:v>26.020854700854688</c:v>
                </c:pt>
                <c:pt idx="68">
                  <c:v>26.020854700854688</c:v>
                </c:pt>
                <c:pt idx="69">
                  <c:v>26.020854700854688</c:v>
                </c:pt>
                <c:pt idx="70">
                  <c:v>26.020854700854688</c:v>
                </c:pt>
                <c:pt idx="71">
                  <c:v>26.020854700854688</c:v>
                </c:pt>
                <c:pt idx="72">
                  <c:v>26.020854700854688</c:v>
                </c:pt>
                <c:pt idx="73">
                  <c:v>26.020854700854688</c:v>
                </c:pt>
                <c:pt idx="74">
                  <c:v>26.020854700854688</c:v>
                </c:pt>
                <c:pt idx="75">
                  <c:v>26.020854700854688</c:v>
                </c:pt>
                <c:pt idx="76">
                  <c:v>26.020854700854688</c:v>
                </c:pt>
                <c:pt idx="77">
                  <c:v>26.020854700854688</c:v>
                </c:pt>
                <c:pt idx="78">
                  <c:v>26.020854700854688</c:v>
                </c:pt>
                <c:pt idx="79">
                  <c:v>26.020854700854688</c:v>
                </c:pt>
                <c:pt idx="80">
                  <c:v>26.020854700854688</c:v>
                </c:pt>
                <c:pt idx="81">
                  <c:v>26.020854700854688</c:v>
                </c:pt>
                <c:pt idx="82">
                  <c:v>26.020854700854688</c:v>
                </c:pt>
                <c:pt idx="83">
                  <c:v>26.020854700854688</c:v>
                </c:pt>
                <c:pt idx="84">
                  <c:v>26.020854700854688</c:v>
                </c:pt>
                <c:pt idx="85">
                  <c:v>26.020854700854688</c:v>
                </c:pt>
                <c:pt idx="86">
                  <c:v>26.020854700854688</c:v>
                </c:pt>
                <c:pt idx="87">
                  <c:v>26.020854700854688</c:v>
                </c:pt>
                <c:pt idx="88">
                  <c:v>26.020854700854688</c:v>
                </c:pt>
                <c:pt idx="89">
                  <c:v>26.020854700854688</c:v>
                </c:pt>
                <c:pt idx="90">
                  <c:v>26.020854700854688</c:v>
                </c:pt>
                <c:pt idx="91">
                  <c:v>26.020854700854688</c:v>
                </c:pt>
                <c:pt idx="92">
                  <c:v>26.020854700854688</c:v>
                </c:pt>
                <c:pt idx="93">
                  <c:v>26.020854700854688</c:v>
                </c:pt>
                <c:pt idx="94">
                  <c:v>26.020854700854688</c:v>
                </c:pt>
                <c:pt idx="95">
                  <c:v>26.020854700854688</c:v>
                </c:pt>
                <c:pt idx="96">
                  <c:v>26.020854700854688</c:v>
                </c:pt>
                <c:pt idx="97">
                  <c:v>26.020854700854688</c:v>
                </c:pt>
                <c:pt idx="98">
                  <c:v>26.020854700854688</c:v>
                </c:pt>
                <c:pt idx="99">
                  <c:v>26.020854700854688</c:v>
                </c:pt>
                <c:pt idx="100">
                  <c:v>26.020854700854688</c:v>
                </c:pt>
                <c:pt idx="101">
                  <c:v>26.020854700854688</c:v>
                </c:pt>
                <c:pt idx="102">
                  <c:v>26.020854700854688</c:v>
                </c:pt>
                <c:pt idx="103">
                  <c:v>26.020854700854688</c:v>
                </c:pt>
                <c:pt idx="104">
                  <c:v>26.020854700854688</c:v>
                </c:pt>
                <c:pt idx="105">
                  <c:v>26.020854700854688</c:v>
                </c:pt>
                <c:pt idx="106">
                  <c:v>26.020854700854688</c:v>
                </c:pt>
                <c:pt idx="107">
                  <c:v>26.020854700854688</c:v>
                </c:pt>
                <c:pt idx="108">
                  <c:v>26.020854700854688</c:v>
                </c:pt>
                <c:pt idx="109">
                  <c:v>26.020854700854688</c:v>
                </c:pt>
                <c:pt idx="110">
                  <c:v>26.020854700854688</c:v>
                </c:pt>
                <c:pt idx="111">
                  <c:v>26.020854700854688</c:v>
                </c:pt>
                <c:pt idx="112">
                  <c:v>26.020854700854688</c:v>
                </c:pt>
                <c:pt idx="113">
                  <c:v>26.020854700854688</c:v>
                </c:pt>
                <c:pt idx="114">
                  <c:v>26.020854700854688</c:v>
                </c:pt>
                <c:pt idx="115">
                  <c:v>26.020854700854688</c:v>
                </c:pt>
                <c:pt idx="116">
                  <c:v>26.020854700854688</c:v>
                </c:pt>
              </c:numCache>
            </c:numRef>
          </c:val>
          <c:smooth val="0"/>
          <c:extLst>
            <c:ext xmlns:c16="http://schemas.microsoft.com/office/drawing/2014/chart" uri="{C3380CC4-5D6E-409C-BE32-E72D297353CC}">
              <c16:uniqueId val="{00000001-661E-4330-A2E9-B00BE0F43895}"/>
            </c:ext>
          </c:extLst>
        </c:ser>
        <c:dLbls>
          <c:showLegendKey val="0"/>
          <c:showVal val="0"/>
          <c:showCatName val="0"/>
          <c:showSerName val="0"/>
          <c:showPercent val="0"/>
          <c:showBubbleSize val="0"/>
        </c:dLbls>
        <c:smooth val="0"/>
        <c:axId val="222483207"/>
        <c:axId val="222481895"/>
      </c:lineChart>
      <c:dateAx>
        <c:axId val="222483207"/>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2481895"/>
        <c:crosses val="autoZero"/>
        <c:auto val="1"/>
        <c:lblOffset val="100"/>
        <c:baseTimeUnit val="days"/>
        <c:majorUnit val="30"/>
        <c:majorTimeUnit val="days"/>
      </c:dateAx>
      <c:valAx>
        <c:axId val="222481895"/>
        <c:scaling>
          <c:orientation val="minMax"/>
          <c:max val="4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2483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0.91978</cdr:y>
    </cdr:from>
    <cdr:to>
      <cdr:x>0.94539</cdr:x>
      <cdr:y>1</cdr:y>
    </cdr:to>
    <cdr:sp macro="" textlink="">
      <cdr:nvSpPr>
        <cdr:cNvPr id="2" name="TextBox 1">
          <a:extLst xmlns:a="http://schemas.openxmlformats.org/drawingml/2006/main">
            <a:ext uri="{FF2B5EF4-FFF2-40B4-BE49-F238E27FC236}">
              <a16:creationId xmlns:a16="http://schemas.microsoft.com/office/drawing/2014/main" id="{F8F660BB-775F-44F4-BB3B-DFF2011BCD74}"/>
            </a:ext>
          </a:extLst>
        </cdr:cNvPr>
        <cdr:cNvSpPr txBox="1"/>
      </cdr:nvSpPr>
      <cdr:spPr>
        <a:xfrm xmlns:a="http://schemas.openxmlformats.org/drawingml/2006/main">
          <a:off x="-4216400" y="2409249"/>
          <a:ext cx="2984204" cy="2101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Sources: Fiducient Advisors, FactSet. As of June 14, 2022.</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0.8897</cdr:y>
    </cdr:from>
    <cdr:to>
      <cdr:x>1</cdr:x>
      <cdr:y>0.96796</cdr:y>
    </cdr:to>
    <cdr:sp macro="" textlink="">
      <cdr:nvSpPr>
        <cdr:cNvPr id="2" name="TextBox 1">
          <a:extLst xmlns:a="http://schemas.openxmlformats.org/drawingml/2006/main">
            <a:ext uri="{FF2B5EF4-FFF2-40B4-BE49-F238E27FC236}">
              <a16:creationId xmlns:a16="http://schemas.microsoft.com/office/drawing/2014/main" id="{32FD236A-6B95-4AE1-84D1-934E9D483AAD}"/>
            </a:ext>
          </a:extLst>
        </cdr:cNvPr>
        <cdr:cNvSpPr txBox="1"/>
      </cdr:nvSpPr>
      <cdr:spPr>
        <a:xfrm xmlns:a="http://schemas.openxmlformats.org/drawingml/2006/main">
          <a:off x="0" y="2468882"/>
          <a:ext cx="2857500" cy="2171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Sources:</a:t>
          </a:r>
          <a:r>
            <a:rPr lang="en-US" sz="800" baseline="0"/>
            <a:t> FactSet, CBOE. As of June 14, 2022.</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iducient">
    <a:dk1>
      <a:sysClr val="windowText" lastClr="000000"/>
    </a:dk1>
    <a:lt1>
      <a:sysClr val="window" lastClr="FFFFFF"/>
    </a:lt1>
    <a:dk2>
      <a:srgbClr val="44546A"/>
    </a:dk2>
    <a:lt2>
      <a:srgbClr val="E7E6E6"/>
    </a:lt2>
    <a:accent1>
      <a:srgbClr val="002855"/>
    </a:accent1>
    <a:accent2>
      <a:srgbClr val="009CDE"/>
    </a:accent2>
    <a:accent3>
      <a:srgbClr val="4B4F54"/>
    </a:accent3>
    <a:accent4>
      <a:srgbClr val="A0DAB3"/>
    </a:accent4>
    <a:accent5>
      <a:srgbClr val="F1B434"/>
    </a:accent5>
    <a:accent6>
      <a:srgbClr val="582D40"/>
    </a:accent6>
    <a:hlink>
      <a:srgbClr val="009CDE"/>
    </a:hlink>
    <a:folHlink>
      <a:srgbClr val="954F72"/>
    </a:folHlink>
  </a:clrScheme>
  <a:fontScheme name="Fiducient">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Fiducient">
    <a:dk1>
      <a:sysClr val="windowText" lastClr="000000"/>
    </a:dk1>
    <a:lt1>
      <a:sysClr val="window" lastClr="FFFFFF"/>
    </a:lt1>
    <a:dk2>
      <a:srgbClr val="44546A"/>
    </a:dk2>
    <a:lt2>
      <a:srgbClr val="E7E6E6"/>
    </a:lt2>
    <a:accent1>
      <a:srgbClr val="002855"/>
    </a:accent1>
    <a:accent2>
      <a:srgbClr val="009CDE"/>
    </a:accent2>
    <a:accent3>
      <a:srgbClr val="4B4F54"/>
    </a:accent3>
    <a:accent4>
      <a:srgbClr val="A0DAB3"/>
    </a:accent4>
    <a:accent5>
      <a:srgbClr val="F1B434"/>
    </a:accent5>
    <a:accent6>
      <a:srgbClr val="582D40"/>
    </a:accent6>
    <a:hlink>
      <a:srgbClr val="009CDE"/>
    </a:hlink>
    <a:folHlink>
      <a:srgbClr val="954F72"/>
    </a:folHlink>
  </a:clrScheme>
  <a:fontScheme name="Fiducient">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3</Pages>
  <Words>654</Words>
  <Characters>3733</Characters>
  <Application>Microsoft Office Word</Application>
  <DocSecurity>4</DocSecurity>
  <Lines>31</Lines>
  <Paragraphs>8</Paragraphs>
  <ScaleCrop>false</ScaleCrop>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Steve</dc:creator>
  <cp:keywords/>
  <dc:description/>
  <cp:lastModifiedBy>Karen Kushner</cp:lastModifiedBy>
  <cp:revision>2</cp:revision>
  <dcterms:created xsi:type="dcterms:W3CDTF">2022-07-01T20:29:00Z</dcterms:created>
  <dcterms:modified xsi:type="dcterms:W3CDTF">2022-07-01T20:29:00Z</dcterms:modified>
</cp:coreProperties>
</file>