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8EE2C" w14:textId="0AEB7013" w:rsidR="002D3C8C" w:rsidRPr="008707BE" w:rsidRDefault="00EA7CB3">
      <w:pPr>
        <w:rPr>
          <w:rFonts w:ascii="Verdana" w:hAnsi="Verdana"/>
        </w:rPr>
      </w:pPr>
      <w:r w:rsidRPr="00EA7CB3">
        <w:rPr>
          <w:rFonts w:ascii="Verdana" w:hAnsi="Verdana"/>
          <w:noProof/>
        </w:rPr>
        <mc:AlternateContent>
          <mc:Choice Requires="wps">
            <w:drawing>
              <wp:anchor distT="45720" distB="45720" distL="114300" distR="114300" simplePos="0" relativeHeight="251659264" behindDoc="0" locked="0" layoutInCell="1" allowOverlap="1" wp14:anchorId="66D64E3B" wp14:editId="63585DD7">
                <wp:simplePos x="0" y="0"/>
                <wp:positionH relativeFrom="column">
                  <wp:posOffset>3067050</wp:posOffset>
                </wp:positionH>
                <wp:positionV relativeFrom="paragraph">
                  <wp:posOffset>342900</wp:posOffset>
                </wp:positionV>
                <wp:extent cx="3600450" cy="8909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890905"/>
                        </a:xfrm>
                        <a:prstGeom prst="rect">
                          <a:avLst/>
                        </a:prstGeom>
                        <a:solidFill>
                          <a:srgbClr val="FFFFFF"/>
                        </a:solidFill>
                        <a:ln w="9525">
                          <a:noFill/>
                          <a:miter lim="800000"/>
                          <a:headEnd/>
                          <a:tailEnd/>
                        </a:ln>
                      </wps:spPr>
                      <wps:txbx>
                        <w:txbxContent>
                          <w:p w14:paraId="1FA4C25A" w14:textId="63BC5E1C" w:rsidR="00EA7CB3" w:rsidRPr="002D02EA" w:rsidRDefault="00EA7CB3">
                            <w:pPr>
                              <w:rPr>
                                <w:b/>
                                <w:bCs/>
                                <w:color w:val="0070C0"/>
                                <w:sz w:val="36"/>
                                <w:szCs w:val="36"/>
                              </w:rPr>
                            </w:pPr>
                            <w:r w:rsidRPr="002D02EA">
                              <w:rPr>
                                <w:b/>
                                <w:bCs/>
                                <w:color w:val="0070C0"/>
                                <w:sz w:val="36"/>
                                <w:szCs w:val="36"/>
                              </w:rPr>
                              <w:t>Regulation Best Interest:</w:t>
                            </w:r>
                          </w:p>
                          <w:p w14:paraId="3BCDB633" w14:textId="7C8DAF10" w:rsidR="001823CB" w:rsidRDefault="00EA7CB3">
                            <w:pPr>
                              <w:rPr>
                                <w:b/>
                                <w:bCs/>
                                <w:color w:val="0070C0"/>
                                <w:sz w:val="36"/>
                                <w:szCs w:val="36"/>
                              </w:rPr>
                            </w:pPr>
                            <w:r w:rsidRPr="002D02EA">
                              <w:rPr>
                                <w:b/>
                                <w:bCs/>
                                <w:color w:val="0070C0"/>
                                <w:sz w:val="36"/>
                                <w:szCs w:val="36"/>
                              </w:rPr>
                              <w:t>Frequently Asked Questions</w:t>
                            </w:r>
                            <w:r w:rsidR="00BE7A8C">
                              <w:rPr>
                                <w:b/>
                                <w:bCs/>
                                <w:color w:val="0070C0"/>
                                <w:sz w:val="36"/>
                                <w:szCs w:val="36"/>
                              </w:rPr>
                              <w:t xml:space="preserve"> </w:t>
                            </w:r>
                            <w:r w:rsidR="007B6895">
                              <w:rPr>
                                <w:b/>
                                <w:bCs/>
                                <w:color w:val="0070C0"/>
                                <w:sz w:val="36"/>
                                <w:szCs w:val="36"/>
                              </w:rPr>
                              <w:t>v.</w:t>
                            </w:r>
                            <w:r w:rsidR="00896ACC">
                              <w:rPr>
                                <w:b/>
                                <w:bCs/>
                                <w:color w:val="0070C0"/>
                                <w:sz w:val="36"/>
                                <w:szCs w:val="36"/>
                              </w:rPr>
                              <w:t>5</w:t>
                            </w:r>
                          </w:p>
                          <w:p w14:paraId="665B83F6" w14:textId="729AE846" w:rsidR="00BE7A8C" w:rsidRPr="002D02EA" w:rsidRDefault="004356F6">
                            <w:pPr>
                              <w:rPr>
                                <w:b/>
                                <w:bCs/>
                                <w:color w:val="0070C0"/>
                                <w:sz w:val="36"/>
                                <w:szCs w:val="36"/>
                              </w:rPr>
                            </w:pPr>
                            <w:r w:rsidRPr="004356F6">
                              <w:rPr>
                                <w:b/>
                                <w:bCs/>
                                <w:i/>
                                <w:iCs/>
                                <w:color w:val="0070C0"/>
                                <w:highlight w:val="yellow"/>
                              </w:rPr>
                              <w:t>See highlighted sections for most recent updates.</w:t>
                            </w:r>
                            <w:r w:rsidR="00BE7A8C">
                              <w:rPr>
                                <w:b/>
                                <w:bCs/>
                                <w:color w:val="0070C0"/>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64E3B" id="_x0000_t202" coordsize="21600,21600" o:spt="202" path="m,l,21600r21600,l21600,xe">
                <v:stroke joinstyle="miter"/>
                <v:path gradientshapeok="t" o:connecttype="rect"/>
              </v:shapetype>
              <v:shape id="Text Box 2" o:spid="_x0000_s1026" type="#_x0000_t202" style="position:absolute;margin-left:241.5pt;margin-top:27pt;width:283.5pt;height:7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" stroked="f">
                <v:textbox>
                  <w:txbxContent>
                    <w:p w14:paraId="1FA4C25A" w14:textId="63BC5E1C" w:rsidR="00EA7CB3" w:rsidRPr="002D02EA" w:rsidRDefault="00EA7CB3">
                      <w:pPr>
                        <w:rPr>
                          <w:b/>
                          <w:bCs/>
                          <w:color w:val="0070C0"/>
                          <w:sz w:val="36"/>
                          <w:szCs w:val="36"/>
                        </w:rPr>
                      </w:pPr>
                      <w:r w:rsidRPr="002D02EA">
                        <w:rPr>
                          <w:b/>
                          <w:bCs/>
                          <w:color w:val="0070C0"/>
                          <w:sz w:val="36"/>
                          <w:szCs w:val="36"/>
                        </w:rPr>
                        <w:t>Regulation Best Interest:</w:t>
                      </w:r>
                    </w:p>
                    <w:p w14:paraId="3BCDB633" w14:textId="7C8DAF10" w:rsidR="001823CB" w:rsidRDefault="00EA7CB3">
                      <w:pPr>
                        <w:rPr>
                          <w:b/>
                          <w:bCs/>
                          <w:color w:val="0070C0"/>
                          <w:sz w:val="36"/>
                          <w:szCs w:val="36"/>
                        </w:rPr>
                      </w:pPr>
                      <w:r w:rsidRPr="002D02EA">
                        <w:rPr>
                          <w:b/>
                          <w:bCs/>
                          <w:color w:val="0070C0"/>
                          <w:sz w:val="36"/>
                          <w:szCs w:val="36"/>
                        </w:rPr>
                        <w:t>Frequently Asked Questions</w:t>
                      </w:r>
                      <w:r w:rsidR="00BE7A8C">
                        <w:rPr>
                          <w:b/>
                          <w:bCs/>
                          <w:color w:val="0070C0"/>
                          <w:sz w:val="36"/>
                          <w:szCs w:val="36"/>
                        </w:rPr>
                        <w:t xml:space="preserve"> </w:t>
                      </w:r>
                      <w:r w:rsidR="007B6895">
                        <w:rPr>
                          <w:b/>
                          <w:bCs/>
                          <w:color w:val="0070C0"/>
                          <w:sz w:val="36"/>
                          <w:szCs w:val="36"/>
                        </w:rPr>
                        <w:t>v.</w:t>
                      </w:r>
                      <w:r w:rsidR="00896ACC">
                        <w:rPr>
                          <w:b/>
                          <w:bCs/>
                          <w:color w:val="0070C0"/>
                          <w:sz w:val="36"/>
                          <w:szCs w:val="36"/>
                        </w:rPr>
                        <w:t>5</w:t>
                      </w:r>
                    </w:p>
                    <w:p w14:paraId="665B83F6" w14:textId="729AE846" w:rsidR="00BE7A8C" w:rsidRPr="002D02EA" w:rsidRDefault="004356F6">
                      <w:pPr>
                        <w:rPr>
                          <w:b/>
                          <w:bCs/>
                          <w:color w:val="0070C0"/>
                          <w:sz w:val="36"/>
                          <w:szCs w:val="36"/>
                        </w:rPr>
                      </w:pPr>
                      <w:r w:rsidRPr="004356F6">
                        <w:rPr>
                          <w:b/>
                          <w:bCs/>
                          <w:i/>
                          <w:iCs/>
                          <w:color w:val="0070C0"/>
                          <w:highlight w:val="yellow"/>
                        </w:rPr>
                        <w:t>See highlighted sections for most recent updates.</w:t>
                      </w:r>
                      <w:r w:rsidR="00BE7A8C">
                        <w:rPr>
                          <w:b/>
                          <w:bCs/>
                          <w:color w:val="0070C0"/>
                          <w:sz w:val="36"/>
                          <w:szCs w:val="36"/>
                        </w:rPr>
                        <w:t xml:space="preserve">                          </w:t>
                      </w:r>
                    </w:p>
                  </w:txbxContent>
                </v:textbox>
                <w10:wrap type="square"/>
              </v:shape>
            </w:pict>
          </mc:Fallback>
        </mc:AlternateContent>
      </w:r>
      <w:r w:rsidR="00ED39E5">
        <w:rPr>
          <w:noProof/>
        </w:rPr>
        <w:drawing>
          <wp:inline distT="0" distB="0" distL="0" distR="0" wp14:anchorId="792B3C59" wp14:editId="613681AA">
            <wp:extent cx="2547071" cy="146066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_logo_FINRA_RegisteredIA_with_TAGLINE_final.png"/>
                    <pic:cNvPicPr/>
                  </pic:nvPicPr>
                  <pic:blipFill>
                    <a:blip r:embed="rId8">
                      <a:extLst>
                        <a:ext uri="{28A0092B-C50C-407E-A947-70E740481C1C}">
                          <a14:useLocalDpi xmlns:a14="http://schemas.microsoft.com/office/drawing/2010/main" val="0"/>
                        </a:ext>
                      </a:extLst>
                    </a:blip>
                    <a:stretch>
                      <a:fillRect/>
                    </a:stretch>
                  </pic:blipFill>
                  <pic:spPr>
                    <a:xfrm>
                      <a:off x="0" y="0"/>
                      <a:ext cx="2551475" cy="1463190"/>
                    </a:xfrm>
                    <a:prstGeom prst="rect">
                      <a:avLst/>
                    </a:prstGeom>
                  </pic:spPr>
                </pic:pic>
              </a:graphicData>
            </a:graphic>
          </wp:inline>
        </w:drawing>
      </w:r>
    </w:p>
    <w:p w14:paraId="159F9899" w14:textId="77777777" w:rsidR="00A003D0" w:rsidRDefault="00A003D0" w:rsidP="00A003D0">
      <w:pPr>
        <w:rPr>
          <w:rFonts w:ascii="Verdana" w:hAnsi="Verdana"/>
          <w:b/>
          <w:bCs/>
        </w:rPr>
      </w:pPr>
    </w:p>
    <w:p w14:paraId="7A5DD8B9" w14:textId="77777777" w:rsidR="00A003D0" w:rsidRDefault="00A003D0" w:rsidP="00A003D0">
      <w:pPr>
        <w:rPr>
          <w:rFonts w:ascii="Verdana" w:hAnsi="Verdana"/>
          <w:b/>
          <w:bCs/>
        </w:rPr>
      </w:pPr>
    </w:p>
    <w:p w14:paraId="0209CD18" w14:textId="26ADF35C" w:rsidR="00A003D0" w:rsidRPr="000B0D3C" w:rsidRDefault="00A003D0" w:rsidP="000B0D3C">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What is Regulation Best Interest?</w:t>
      </w:r>
    </w:p>
    <w:p w14:paraId="4D0DC7D1" w14:textId="77777777" w:rsidR="00A003D0" w:rsidRPr="00A003D0" w:rsidRDefault="00A003D0" w:rsidP="000B0D3C">
      <w:pPr>
        <w:ind w:left="720"/>
        <w:jc w:val="both"/>
        <w:rPr>
          <w:rFonts w:ascii="Verdana" w:hAnsi="Verdana"/>
          <w:sz w:val="22"/>
          <w:szCs w:val="22"/>
        </w:rPr>
      </w:pPr>
      <w:r w:rsidRPr="00A003D0">
        <w:rPr>
          <w:rFonts w:ascii="Verdana" w:hAnsi="Verdana"/>
          <w:sz w:val="22"/>
          <w:szCs w:val="22"/>
        </w:rPr>
        <w:t xml:space="preserve">The SEC’s Regulation Best Interest (“Reg BI”) imposes principles-based standards on recommendations made to retail customers and requires that broker dealers and their associated persons to act in the best interest of the retail customer at the time a recommendation is made, without placing the financial or other interest of the broker dealer ahead of the customer. </w:t>
      </w:r>
    </w:p>
    <w:p w14:paraId="24B77C50" w14:textId="77777777" w:rsidR="00A003D0" w:rsidRPr="00A003D0" w:rsidRDefault="00A003D0" w:rsidP="000B0D3C">
      <w:pPr>
        <w:ind w:left="720"/>
        <w:jc w:val="both"/>
        <w:rPr>
          <w:rFonts w:ascii="Verdana" w:hAnsi="Verdana"/>
          <w:sz w:val="22"/>
          <w:szCs w:val="22"/>
        </w:rPr>
      </w:pPr>
    </w:p>
    <w:p w14:paraId="2E28DC4F" w14:textId="77777777" w:rsidR="00A003D0" w:rsidRPr="00A003D0" w:rsidRDefault="00A003D0" w:rsidP="000B0D3C">
      <w:pPr>
        <w:ind w:left="720"/>
        <w:jc w:val="both"/>
        <w:rPr>
          <w:rFonts w:ascii="Verdana" w:hAnsi="Verdana"/>
          <w:sz w:val="22"/>
          <w:szCs w:val="22"/>
        </w:rPr>
      </w:pPr>
      <w:r w:rsidRPr="00A003D0">
        <w:rPr>
          <w:rFonts w:ascii="Verdana" w:hAnsi="Verdana"/>
          <w:sz w:val="22"/>
          <w:szCs w:val="22"/>
        </w:rPr>
        <w:t>Brokers Dealers, like PCS, that provide investment recommendations to their retail customers must adhere to four components under the new rule:</w:t>
      </w:r>
    </w:p>
    <w:p w14:paraId="709894F8" w14:textId="77777777" w:rsidR="00A003D0" w:rsidRDefault="00A003D0" w:rsidP="00B60597">
      <w:pPr>
        <w:jc w:val="both"/>
        <w:rPr>
          <w:rFonts w:ascii="Verdana" w:hAnsi="Verdana"/>
        </w:rPr>
      </w:pPr>
    </w:p>
    <w:p w14:paraId="2897D8DE" w14:textId="77777777" w:rsidR="00A003D0" w:rsidRPr="0099634A" w:rsidRDefault="00A003D0" w:rsidP="000B0D3C">
      <w:pPr>
        <w:ind w:firstLine="1260"/>
        <w:jc w:val="both"/>
        <w:rPr>
          <w:rFonts w:ascii="Verdana" w:hAnsi="Verdana"/>
        </w:rPr>
      </w:pPr>
      <w:r w:rsidRPr="0099634A">
        <w:rPr>
          <w:rFonts w:ascii="Verdana" w:hAnsi="Verdana"/>
          <w:noProof/>
        </w:rPr>
        <w:drawing>
          <wp:inline distT="0" distB="0" distL="0" distR="0" wp14:anchorId="11C07A8D" wp14:editId="202A3E9A">
            <wp:extent cx="4934639" cy="21720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4639" cy="2172003"/>
                    </a:xfrm>
                    <a:prstGeom prst="rect">
                      <a:avLst/>
                    </a:prstGeom>
                  </pic:spPr>
                </pic:pic>
              </a:graphicData>
            </a:graphic>
          </wp:inline>
        </w:drawing>
      </w:r>
    </w:p>
    <w:p w14:paraId="64679057" w14:textId="77777777" w:rsidR="00A003D0" w:rsidRDefault="00A003D0" w:rsidP="00B60597">
      <w:pPr>
        <w:jc w:val="both"/>
        <w:rPr>
          <w:rFonts w:ascii="Verdana" w:hAnsi="Verdana"/>
          <w:b/>
          <w:bCs/>
        </w:rPr>
      </w:pPr>
    </w:p>
    <w:p w14:paraId="741955AF" w14:textId="77777777" w:rsidR="00A003D0" w:rsidRPr="000B0D3C" w:rsidRDefault="00A003D0" w:rsidP="000B0D3C">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What is a retail customer?</w:t>
      </w:r>
    </w:p>
    <w:p w14:paraId="0AF912FD" w14:textId="77777777" w:rsidR="00A003D0" w:rsidRPr="00A003D0" w:rsidRDefault="00A003D0" w:rsidP="000B0D3C">
      <w:pPr>
        <w:ind w:left="720"/>
        <w:jc w:val="both"/>
        <w:rPr>
          <w:rFonts w:ascii="Verdana" w:hAnsi="Verdana"/>
          <w:sz w:val="22"/>
          <w:szCs w:val="22"/>
        </w:rPr>
      </w:pPr>
      <w:r w:rsidRPr="00A003D0">
        <w:rPr>
          <w:rFonts w:ascii="Verdana" w:hAnsi="Verdana"/>
          <w:sz w:val="22"/>
          <w:szCs w:val="22"/>
        </w:rPr>
        <w:t>Regulation BI defines a retail customer as a “natural person, or the legal representative of a nature person, who: A) receives a recommendation of any securities transaction or investment strategy involving securities from a broker dealer; and B) uses the recommendation primarily for personal, family, or household purposes”.</w:t>
      </w:r>
    </w:p>
    <w:p w14:paraId="105A237E" w14:textId="77777777" w:rsidR="00A003D0" w:rsidRDefault="00A003D0" w:rsidP="00B60597">
      <w:pPr>
        <w:jc w:val="both"/>
        <w:rPr>
          <w:rFonts w:ascii="Verdana" w:hAnsi="Verdana"/>
        </w:rPr>
      </w:pPr>
    </w:p>
    <w:p w14:paraId="6D10595C" w14:textId="77777777" w:rsidR="00A003D0" w:rsidRPr="000B0D3C" w:rsidRDefault="00A003D0" w:rsidP="000B0D3C">
      <w:pPr>
        <w:pStyle w:val="ListParagraph"/>
        <w:numPr>
          <w:ilvl w:val="0"/>
          <w:numId w:val="4"/>
        </w:numPr>
        <w:jc w:val="both"/>
        <w:rPr>
          <w:rFonts w:ascii="Verdana" w:hAnsi="Verdana"/>
          <w:color w:val="365F91" w:themeColor="accent1" w:themeShade="BF"/>
        </w:rPr>
      </w:pPr>
      <w:r w:rsidRPr="000B0D3C">
        <w:rPr>
          <w:rFonts w:ascii="Verdana" w:hAnsi="Verdana"/>
          <w:b/>
          <w:bCs/>
          <w:color w:val="365F91" w:themeColor="accent1" w:themeShade="BF"/>
        </w:rPr>
        <w:t>What does it mean to “use a recommendation”?</w:t>
      </w:r>
    </w:p>
    <w:p w14:paraId="27410E4B" w14:textId="48283789" w:rsidR="00A003D0" w:rsidRPr="00A003D0" w:rsidRDefault="00A003D0" w:rsidP="000B0D3C">
      <w:pPr>
        <w:ind w:left="720"/>
        <w:jc w:val="both"/>
        <w:rPr>
          <w:rFonts w:ascii="Verdana" w:hAnsi="Verdana"/>
          <w:sz w:val="22"/>
          <w:szCs w:val="22"/>
        </w:rPr>
      </w:pPr>
      <w:r w:rsidRPr="00A003D0">
        <w:rPr>
          <w:rFonts w:ascii="Verdana" w:hAnsi="Verdana" w:cs="Helvetica"/>
          <w:color w:val="000000"/>
          <w:sz w:val="22"/>
          <w:szCs w:val="22"/>
          <w:shd w:val="clear" w:color="auto" w:fill="FFFFFF"/>
        </w:rPr>
        <w:t xml:space="preserve">A retail customer “uses” a recommendation of a securities transaction or investment strategy involving securities when, as a result of the recommendation: (1) the retail customer opens a brokerage account with the broker-dealer, regardless of whether the broker-dealer receives compensation; (2) the retail customer has an existing account with the broker-dealer and receives a recommendation from the broker-dealer, regardless of whether the broker-dealer receives or will receive </w:t>
      </w:r>
      <w:r w:rsidRPr="00A003D0">
        <w:rPr>
          <w:rFonts w:ascii="Verdana" w:hAnsi="Verdana" w:cs="Helvetica"/>
          <w:color w:val="000000"/>
          <w:sz w:val="22"/>
          <w:szCs w:val="22"/>
          <w:shd w:val="clear" w:color="auto" w:fill="FFFFFF"/>
        </w:rPr>
        <w:lastRenderedPageBreak/>
        <w:t xml:space="preserve">compensation, directly or indirectly, as a result of that recommendation; or, (3) the broker-dealer receives or will receive compensation, directly or indirectly as a result of that recommendation, even if that retail customer does not have an account at the firm. </w:t>
      </w:r>
    </w:p>
    <w:p w14:paraId="05CE0E12" w14:textId="77777777" w:rsidR="00A003D0" w:rsidRPr="00A003D0" w:rsidRDefault="00A003D0" w:rsidP="00B60597">
      <w:pPr>
        <w:jc w:val="both"/>
        <w:rPr>
          <w:rFonts w:ascii="Verdana" w:hAnsi="Verdana"/>
          <w:b/>
          <w:bCs/>
          <w:sz w:val="22"/>
          <w:szCs w:val="22"/>
        </w:rPr>
      </w:pPr>
    </w:p>
    <w:p w14:paraId="4CFE6C34" w14:textId="552AD56E" w:rsidR="00A003D0" w:rsidRPr="000B0D3C" w:rsidRDefault="00D06B83" w:rsidP="000B0D3C">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What account recommendations are covered by Reg BI?</w:t>
      </w:r>
    </w:p>
    <w:p w14:paraId="674ABCB8" w14:textId="07A75888" w:rsidR="00D06B83" w:rsidRDefault="00D06B83" w:rsidP="000B0D3C">
      <w:pPr>
        <w:tabs>
          <w:tab w:val="left" w:pos="720"/>
        </w:tabs>
        <w:ind w:left="720"/>
        <w:jc w:val="both"/>
        <w:rPr>
          <w:rFonts w:ascii="Verdana" w:hAnsi="Verdana" w:cs="Helvetica"/>
          <w:color w:val="000000"/>
          <w:sz w:val="22"/>
          <w:szCs w:val="22"/>
          <w:shd w:val="clear" w:color="auto" w:fill="FFFFFF"/>
        </w:rPr>
      </w:pPr>
      <w:r w:rsidRPr="00D06B83">
        <w:rPr>
          <w:rFonts w:ascii="Verdana" w:hAnsi="Verdana" w:cs="Helvetica"/>
          <w:color w:val="000000"/>
          <w:sz w:val="22"/>
          <w:szCs w:val="22"/>
          <w:shd w:val="clear" w:color="auto" w:fill="FFFFFF"/>
        </w:rPr>
        <w:t>Regulation Best Interest</w:t>
      </w:r>
      <w:r w:rsidRPr="00D06B83">
        <w:rPr>
          <w:rFonts w:ascii="Verdana" w:hAnsi="Verdana" w:cs="Helvetica"/>
          <w:b/>
          <w:bCs/>
          <w:color w:val="000000"/>
          <w:sz w:val="22"/>
          <w:szCs w:val="22"/>
          <w:bdr w:val="none" w:sz="0" w:space="0" w:color="auto" w:frame="1"/>
          <w:shd w:val="clear" w:color="auto" w:fill="FFFFFF"/>
        </w:rPr>
        <w:t> </w:t>
      </w:r>
      <w:r w:rsidRPr="00D06B83">
        <w:rPr>
          <w:rFonts w:ascii="Verdana" w:hAnsi="Verdana" w:cs="Helvetica"/>
          <w:color w:val="000000"/>
          <w:sz w:val="22"/>
          <w:szCs w:val="22"/>
          <w:shd w:val="clear" w:color="auto" w:fill="FFFFFF"/>
        </w:rPr>
        <w:t>expressly applies to account recommendations including recommendations of securities account types generally (e.g., to open an IRA or other brokerage account</w:t>
      </w:r>
      <w:r>
        <w:rPr>
          <w:rFonts w:ascii="Verdana" w:hAnsi="Verdana" w:cs="Helvetica"/>
          <w:color w:val="000000"/>
          <w:sz w:val="22"/>
          <w:szCs w:val="22"/>
          <w:shd w:val="clear" w:color="auto" w:fill="FFFFFF"/>
        </w:rPr>
        <w:t xml:space="preserve"> type</w:t>
      </w:r>
      <w:r w:rsidRPr="00D06B83">
        <w:rPr>
          <w:rFonts w:ascii="Verdana" w:hAnsi="Verdana" w:cs="Helvetica"/>
          <w:color w:val="000000"/>
          <w:sz w:val="22"/>
          <w:szCs w:val="22"/>
          <w:shd w:val="clear" w:color="auto" w:fill="FFFFFF"/>
        </w:rPr>
        <w:t>, or an advisory account), as well as recommendations to roll over or transfer assets from one type of account to another (e.g., from a workplace retirement plan account to an IRA).</w:t>
      </w:r>
    </w:p>
    <w:p w14:paraId="39FC1460" w14:textId="16A67ED8" w:rsidR="00D06B83" w:rsidRDefault="00D06B83" w:rsidP="00B60597">
      <w:pPr>
        <w:jc w:val="both"/>
        <w:rPr>
          <w:rFonts w:ascii="Verdana" w:hAnsi="Verdana" w:cs="Helvetica"/>
          <w:color w:val="000000"/>
          <w:sz w:val="22"/>
          <w:szCs w:val="22"/>
          <w:shd w:val="clear" w:color="auto" w:fill="FFFFFF"/>
        </w:rPr>
      </w:pPr>
    </w:p>
    <w:p w14:paraId="0C5CE164" w14:textId="6B5A4B5D" w:rsidR="00D06B83" w:rsidRDefault="00D06B83" w:rsidP="000B0D3C">
      <w:pPr>
        <w:ind w:left="720"/>
        <w:jc w:val="both"/>
        <w:rPr>
          <w:rFonts w:ascii="Verdana" w:hAnsi="Verdana" w:cs="Helvetica"/>
          <w:color w:val="000000"/>
          <w:sz w:val="22"/>
          <w:szCs w:val="22"/>
          <w:shd w:val="clear" w:color="auto" w:fill="FFFFFF"/>
        </w:rPr>
      </w:pPr>
      <w:r>
        <w:rPr>
          <w:rFonts w:ascii="Verdana" w:hAnsi="Verdana" w:cs="Helvetica"/>
          <w:color w:val="000000"/>
          <w:sz w:val="22"/>
          <w:szCs w:val="22"/>
          <w:shd w:val="clear" w:color="auto" w:fill="FFFFFF"/>
        </w:rPr>
        <w:t xml:space="preserve">Reg BI also applies to a recommendation of a securities transaction or investment strategy involving securities to a retail customer. </w:t>
      </w:r>
    </w:p>
    <w:p w14:paraId="020A148B" w14:textId="57C2BF62" w:rsidR="009E3DCC" w:rsidRDefault="009E3DCC" w:rsidP="00B60597">
      <w:pPr>
        <w:jc w:val="both"/>
        <w:rPr>
          <w:rFonts w:ascii="Verdana" w:hAnsi="Verdana" w:cs="Helvetica"/>
          <w:color w:val="000000"/>
          <w:sz w:val="22"/>
          <w:szCs w:val="22"/>
          <w:shd w:val="clear" w:color="auto" w:fill="FFFFFF"/>
        </w:rPr>
      </w:pPr>
    </w:p>
    <w:p w14:paraId="2BD423CF" w14:textId="77777777" w:rsidR="007010DA" w:rsidRDefault="007010DA" w:rsidP="00B60597">
      <w:pPr>
        <w:jc w:val="both"/>
        <w:rPr>
          <w:rFonts w:ascii="Verdana" w:hAnsi="Verdana"/>
          <w:b/>
          <w:bCs/>
          <w:color w:val="365F91" w:themeColor="accent1" w:themeShade="BF"/>
        </w:rPr>
      </w:pPr>
    </w:p>
    <w:p w14:paraId="0450349D" w14:textId="11D9651C" w:rsidR="001243D2" w:rsidRPr="00C71CE6" w:rsidRDefault="001243D2" w:rsidP="00C71CE6">
      <w:pPr>
        <w:pStyle w:val="ListParagraph"/>
        <w:numPr>
          <w:ilvl w:val="0"/>
          <w:numId w:val="4"/>
        </w:numPr>
        <w:jc w:val="both"/>
        <w:rPr>
          <w:rFonts w:ascii="Verdana" w:hAnsi="Verdana"/>
          <w:b/>
          <w:bCs/>
          <w:color w:val="365F91" w:themeColor="accent1" w:themeShade="BF"/>
        </w:rPr>
      </w:pPr>
      <w:r w:rsidRPr="00C71CE6">
        <w:rPr>
          <w:rFonts w:ascii="Verdana" w:hAnsi="Verdana"/>
          <w:b/>
          <w:bCs/>
          <w:color w:val="365F91" w:themeColor="accent1" w:themeShade="BF"/>
        </w:rPr>
        <w:t xml:space="preserve">If </w:t>
      </w:r>
      <w:r w:rsidR="007D2496" w:rsidRPr="00C71CE6">
        <w:rPr>
          <w:rFonts w:ascii="Verdana" w:hAnsi="Verdana"/>
          <w:b/>
          <w:bCs/>
          <w:color w:val="365F91" w:themeColor="accent1" w:themeShade="BF"/>
        </w:rPr>
        <w:t>a financial professional meets</w:t>
      </w:r>
      <w:r w:rsidRPr="00C71CE6">
        <w:rPr>
          <w:rFonts w:ascii="Verdana" w:hAnsi="Verdana"/>
          <w:b/>
          <w:bCs/>
          <w:color w:val="365F91" w:themeColor="accent1" w:themeShade="BF"/>
        </w:rPr>
        <w:t xml:space="preserve"> with a prospective retail customer in an informal setting, such as a golf course or social gathering, is that communication subject to Regulation Best Interest?</w:t>
      </w:r>
    </w:p>
    <w:p w14:paraId="05A0547E" w14:textId="1137FE53" w:rsidR="001243D2" w:rsidRDefault="001243D2" w:rsidP="000B0D3C">
      <w:pPr>
        <w:ind w:left="720"/>
        <w:jc w:val="both"/>
        <w:rPr>
          <w:rFonts w:ascii="Verdana" w:hAnsi="Verdana"/>
          <w:sz w:val="22"/>
          <w:szCs w:val="22"/>
        </w:rPr>
      </w:pPr>
      <w:r>
        <w:rPr>
          <w:rFonts w:ascii="Verdana" w:hAnsi="Verdana"/>
          <w:sz w:val="22"/>
          <w:szCs w:val="22"/>
        </w:rPr>
        <w:t xml:space="preserve">Not all communications with a prospective client are subject to Reg BI since many of these conversations do not involve making a recommendation. If your communication with a potential customer </w:t>
      </w:r>
      <w:r w:rsidR="008112B2">
        <w:rPr>
          <w:rFonts w:ascii="Verdana" w:hAnsi="Verdana"/>
          <w:sz w:val="22"/>
          <w:szCs w:val="22"/>
        </w:rPr>
        <w:t>does not</w:t>
      </w:r>
      <w:r>
        <w:rPr>
          <w:rFonts w:ascii="Verdana" w:hAnsi="Verdana"/>
          <w:sz w:val="22"/>
          <w:szCs w:val="22"/>
        </w:rPr>
        <w:t xml:space="preserve"> contain a “call to action” to open an account, engage in a securities transaction, or act on an investment strategy, it is not subject to Regulation Best Interest.</w:t>
      </w:r>
    </w:p>
    <w:p w14:paraId="5CAE323A" w14:textId="77777777" w:rsidR="00FC1389" w:rsidRPr="001243D2" w:rsidRDefault="00FC1389" w:rsidP="005E775C">
      <w:pPr>
        <w:jc w:val="both"/>
        <w:rPr>
          <w:rFonts w:ascii="Verdana" w:hAnsi="Verdana"/>
          <w:sz w:val="22"/>
          <w:szCs w:val="22"/>
        </w:rPr>
      </w:pPr>
    </w:p>
    <w:p w14:paraId="5789F269" w14:textId="77777777" w:rsidR="00A003D0" w:rsidRPr="003E2A5B" w:rsidRDefault="00A003D0" w:rsidP="00B60597">
      <w:pPr>
        <w:jc w:val="both"/>
        <w:rPr>
          <w:rStyle w:val="Strong"/>
        </w:rPr>
      </w:pPr>
    </w:p>
    <w:p w14:paraId="1E71AA8B" w14:textId="76553CA9" w:rsidR="001243D2" w:rsidRPr="000B0D3C" w:rsidRDefault="001243D2" w:rsidP="00C71CE6">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Does Reg BI differentiate between educating my clients and making a recommendation?</w:t>
      </w:r>
    </w:p>
    <w:p w14:paraId="3F050DD7" w14:textId="0B88DBDF" w:rsidR="001243D2" w:rsidRDefault="001243D2" w:rsidP="000B0D3C">
      <w:pPr>
        <w:ind w:left="720"/>
        <w:jc w:val="both"/>
        <w:rPr>
          <w:rFonts w:ascii="Verdana" w:hAnsi="Verdana"/>
          <w:sz w:val="22"/>
          <w:szCs w:val="22"/>
        </w:rPr>
      </w:pPr>
      <w:r>
        <w:rPr>
          <w:rFonts w:ascii="Verdana" w:hAnsi="Verdana"/>
          <w:sz w:val="22"/>
          <w:szCs w:val="22"/>
        </w:rPr>
        <w:t>Yes, consistent with other</w:t>
      </w:r>
      <w:r w:rsidR="00F02D28">
        <w:rPr>
          <w:rFonts w:ascii="Verdana" w:hAnsi="Verdana"/>
          <w:sz w:val="22"/>
          <w:szCs w:val="22"/>
        </w:rPr>
        <w:t xml:space="preserve"> existing regulations, certain communications with your clients are considered educational and not a recommendation. For example, a communication to a retail customer informing he or she that they may make an IRA contribution up to a certain amount annually is educational and not a recommendation. Similarly, if you inform a retail customer that he or she needs to take an RMD, such communication by itself is not a recommendation. However, if you suggest specific securities to be sold to generate the cash for the RMD, you have moved into making a recommendation to the customer. </w:t>
      </w:r>
    </w:p>
    <w:p w14:paraId="58614985" w14:textId="274E4D88" w:rsidR="008A721E" w:rsidRDefault="008A721E" w:rsidP="008A721E">
      <w:pPr>
        <w:jc w:val="both"/>
        <w:rPr>
          <w:rFonts w:ascii="Verdana" w:hAnsi="Verdana"/>
          <w:sz w:val="22"/>
          <w:szCs w:val="22"/>
        </w:rPr>
      </w:pPr>
    </w:p>
    <w:p w14:paraId="02012890" w14:textId="74CBEFCE" w:rsidR="008A721E" w:rsidRPr="00896ACC" w:rsidRDefault="008A721E" w:rsidP="00C71CE6">
      <w:pPr>
        <w:pStyle w:val="ListParagraph"/>
        <w:numPr>
          <w:ilvl w:val="0"/>
          <w:numId w:val="4"/>
        </w:numPr>
        <w:jc w:val="both"/>
        <w:rPr>
          <w:rFonts w:ascii="Verdana" w:hAnsi="Verdana"/>
          <w:b/>
          <w:bCs/>
          <w:color w:val="365F91" w:themeColor="accent1" w:themeShade="BF"/>
        </w:rPr>
      </w:pPr>
      <w:r w:rsidRPr="00896ACC">
        <w:rPr>
          <w:rFonts w:ascii="Verdana" w:hAnsi="Verdana"/>
          <w:b/>
          <w:bCs/>
          <w:color w:val="365F91" w:themeColor="accent1" w:themeShade="BF"/>
        </w:rPr>
        <w:t>If an advisor recommends a fixed annuity (insurance product only) with no variable component and no recommendation of buying or selling securities, does Reg BI apply?</w:t>
      </w:r>
    </w:p>
    <w:p w14:paraId="3D71CD72" w14:textId="258A749B" w:rsidR="008A721E" w:rsidRPr="008A721E" w:rsidRDefault="008A721E" w:rsidP="008A721E">
      <w:pPr>
        <w:ind w:left="450"/>
        <w:jc w:val="both"/>
        <w:rPr>
          <w:rFonts w:ascii="Verdana" w:hAnsi="Verdana"/>
        </w:rPr>
      </w:pPr>
      <w:r w:rsidRPr="00896ACC">
        <w:rPr>
          <w:rFonts w:ascii="Verdana" w:hAnsi="Verdana"/>
        </w:rPr>
        <w:t>Yes, if the fixed annuity runs through PCS since an account type recommendation was made. Delivery of Form CRS would be required</w:t>
      </w:r>
      <w:r w:rsidR="008974C6" w:rsidRPr="00896ACC">
        <w:rPr>
          <w:rFonts w:ascii="Verdana" w:hAnsi="Verdana"/>
        </w:rPr>
        <w:t>. The PCS Recommendation Documentation Supplement should be completed for the Account Selection Recommendation section only since the Investment Recommendation section would not apply.</w:t>
      </w:r>
    </w:p>
    <w:p w14:paraId="474F6748" w14:textId="4C3A08A0" w:rsidR="008A721E" w:rsidRPr="008A721E" w:rsidRDefault="008A721E" w:rsidP="008A721E">
      <w:pPr>
        <w:pStyle w:val="ListParagraph"/>
        <w:ind w:left="450"/>
        <w:jc w:val="both"/>
        <w:rPr>
          <w:rFonts w:ascii="Verdana" w:hAnsi="Verdana"/>
          <w:b/>
          <w:bCs/>
          <w:color w:val="365F91" w:themeColor="accent1" w:themeShade="BF"/>
        </w:rPr>
      </w:pPr>
    </w:p>
    <w:p w14:paraId="782CFC37" w14:textId="77777777" w:rsidR="004A6550" w:rsidRPr="000B0D3C" w:rsidRDefault="004A6550" w:rsidP="004A6550">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lastRenderedPageBreak/>
        <w:t>Does PCS have recommendations for portfolio construction under Reg BI?</w:t>
      </w:r>
    </w:p>
    <w:p w14:paraId="70D4CF33" w14:textId="77777777" w:rsidR="004A6550" w:rsidRDefault="004A6550" w:rsidP="004A6550">
      <w:pPr>
        <w:ind w:left="720"/>
        <w:jc w:val="both"/>
        <w:rPr>
          <w:rFonts w:ascii="Verdana" w:hAnsi="Verdana" w:cs="Helvetica"/>
          <w:i/>
          <w:iCs/>
          <w:sz w:val="22"/>
          <w:szCs w:val="22"/>
          <w:shd w:val="clear" w:color="auto" w:fill="FFFFFF"/>
        </w:rPr>
      </w:pPr>
      <w:r>
        <w:rPr>
          <w:rFonts w:ascii="Verdana" w:hAnsi="Verdana"/>
          <w:sz w:val="22"/>
          <w:szCs w:val="22"/>
        </w:rPr>
        <w:t xml:space="preserve">Yes, PCS has created recommendations for portfolio construction by investment objective and risk tolerance. </w:t>
      </w:r>
      <w:r w:rsidRPr="007010DA">
        <w:rPr>
          <w:rFonts w:ascii="Verdana" w:hAnsi="Verdana" w:cs="Helvetica"/>
          <w:i/>
          <w:iCs/>
          <w:sz w:val="22"/>
          <w:szCs w:val="22"/>
          <w:shd w:val="clear" w:color="auto" w:fill="FFFFFF"/>
        </w:rPr>
        <w:t>Please see the Regulation Best Interest Recommendation Processes document for additional detail.</w:t>
      </w:r>
    </w:p>
    <w:p w14:paraId="4903A522" w14:textId="06B26253" w:rsidR="00F319D7" w:rsidRDefault="00F319D7" w:rsidP="00F319D7">
      <w:pPr>
        <w:jc w:val="both"/>
        <w:rPr>
          <w:rFonts w:ascii="Verdana" w:hAnsi="Verdana"/>
          <w:sz w:val="22"/>
          <w:szCs w:val="22"/>
        </w:rPr>
      </w:pPr>
    </w:p>
    <w:p w14:paraId="0472C700" w14:textId="77777777" w:rsidR="001565AE" w:rsidRDefault="001565AE" w:rsidP="00F319D7">
      <w:pPr>
        <w:jc w:val="both"/>
        <w:rPr>
          <w:rFonts w:ascii="Verdana" w:hAnsi="Verdana"/>
          <w:sz w:val="22"/>
          <w:szCs w:val="22"/>
        </w:rPr>
      </w:pPr>
    </w:p>
    <w:p w14:paraId="39B70609" w14:textId="201EB017" w:rsidR="00F319D7" w:rsidRPr="00F319D7" w:rsidRDefault="00F319D7" w:rsidP="00F319D7">
      <w:pPr>
        <w:jc w:val="both"/>
        <w:rPr>
          <w:rFonts w:ascii="Verdana" w:hAnsi="Verdana"/>
          <w:b/>
          <w:bCs/>
          <w:sz w:val="22"/>
          <w:szCs w:val="22"/>
          <w:u w:val="single"/>
        </w:rPr>
      </w:pPr>
      <w:r w:rsidRPr="00F319D7">
        <w:rPr>
          <w:rFonts w:ascii="Verdana" w:hAnsi="Verdana"/>
          <w:b/>
          <w:bCs/>
          <w:sz w:val="22"/>
          <w:szCs w:val="22"/>
          <w:u w:val="single"/>
        </w:rPr>
        <w:t>Reg BI Disclosure Obligation</w:t>
      </w:r>
    </w:p>
    <w:p w14:paraId="1AC58921" w14:textId="77777777" w:rsidR="001243D2" w:rsidRDefault="001243D2" w:rsidP="00B60597">
      <w:pPr>
        <w:jc w:val="both"/>
        <w:rPr>
          <w:rFonts w:ascii="Verdana" w:hAnsi="Verdana"/>
          <w:b/>
          <w:bCs/>
        </w:rPr>
      </w:pPr>
    </w:p>
    <w:p w14:paraId="28105CD2" w14:textId="77777777" w:rsidR="00F319D7" w:rsidRPr="000B0D3C" w:rsidRDefault="00F319D7" w:rsidP="00C71CE6">
      <w:pPr>
        <w:pStyle w:val="ListParagraph"/>
        <w:numPr>
          <w:ilvl w:val="0"/>
          <w:numId w:val="4"/>
        </w:numPr>
        <w:jc w:val="both"/>
        <w:rPr>
          <w:rFonts w:ascii="Verdana" w:hAnsi="Verdana"/>
          <w:b/>
          <w:bCs/>
          <w:color w:val="365F91" w:themeColor="accent1" w:themeShade="BF"/>
        </w:rPr>
      </w:pPr>
      <w:bookmarkStart w:id="0" w:name="_Hlk42858394"/>
      <w:r w:rsidRPr="000B0D3C">
        <w:rPr>
          <w:rFonts w:ascii="Verdana" w:hAnsi="Verdana"/>
          <w:b/>
          <w:bCs/>
          <w:color w:val="365F91" w:themeColor="accent1" w:themeShade="BF"/>
        </w:rPr>
        <w:t>What is the Disclosure Obligation under Regulation Best Interest?</w:t>
      </w:r>
    </w:p>
    <w:bookmarkEnd w:id="0"/>
    <w:p w14:paraId="16C5A21C" w14:textId="77777777" w:rsidR="00F319D7" w:rsidRDefault="00F319D7" w:rsidP="00F319D7">
      <w:pPr>
        <w:ind w:left="720"/>
        <w:jc w:val="both"/>
        <w:rPr>
          <w:rFonts w:ascii="Verdana" w:hAnsi="Verdana"/>
          <w:sz w:val="22"/>
          <w:szCs w:val="22"/>
        </w:rPr>
      </w:pPr>
      <w:r w:rsidRPr="00F02D28">
        <w:rPr>
          <w:rFonts w:ascii="Verdana" w:hAnsi="Verdana"/>
          <w:sz w:val="22"/>
          <w:szCs w:val="22"/>
        </w:rPr>
        <w:t>From</w:t>
      </w:r>
      <w:r w:rsidRPr="00F02D28">
        <w:rPr>
          <w:rFonts w:ascii="Verdana" w:hAnsi="Verdana"/>
          <w:color w:val="365F91" w:themeColor="accent1" w:themeShade="BF"/>
          <w:sz w:val="22"/>
          <w:szCs w:val="22"/>
        </w:rPr>
        <w:t xml:space="preserve"> </w:t>
      </w:r>
      <w:r w:rsidRPr="00F02D28">
        <w:rPr>
          <w:rFonts w:ascii="Verdana" w:hAnsi="Verdana"/>
          <w:sz w:val="22"/>
          <w:szCs w:val="22"/>
        </w:rPr>
        <w:t xml:space="preserve">the individual financial </w:t>
      </w:r>
      <w:r>
        <w:rPr>
          <w:rFonts w:ascii="Verdana" w:hAnsi="Verdana"/>
          <w:sz w:val="22"/>
          <w:szCs w:val="22"/>
        </w:rPr>
        <w:t>professional’s</w:t>
      </w:r>
      <w:r w:rsidRPr="00F02D28">
        <w:rPr>
          <w:rFonts w:ascii="Verdana" w:hAnsi="Verdana"/>
          <w:sz w:val="22"/>
          <w:szCs w:val="22"/>
        </w:rPr>
        <w:t xml:space="preserve"> standpoint, the most significant impact of Regulation Best Interest is the requirement for brokers and investment advisor representatives to use a new form to disclose all </w:t>
      </w:r>
      <w:r>
        <w:rPr>
          <w:rFonts w:ascii="Verdana" w:hAnsi="Verdana"/>
          <w:sz w:val="22"/>
          <w:szCs w:val="22"/>
        </w:rPr>
        <w:t>material facts</w:t>
      </w:r>
      <w:r w:rsidRPr="00F02D28">
        <w:rPr>
          <w:rFonts w:ascii="Verdana" w:hAnsi="Verdana"/>
          <w:sz w:val="22"/>
          <w:szCs w:val="22"/>
        </w:rPr>
        <w:t xml:space="preserve"> of the investor-advisor relationships</w:t>
      </w:r>
      <w:r>
        <w:rPr>
          <w:rFonts w:ascii="Verdana" w:hAnsi="Verdana"/>
          <w:sz w:val="22"/>
          <w:szCs w:val="22"/>
        </w:rPr>
        <w:t>, including the products and services provided,</w:t>
      </w:r>
      <w:r w:rsidRPr="00F02D28">
        <w:rPr>
          <w:rFonts w:ascii="Verdana" w:hAnsi="Verdana"/>
          <w:sz w:val="22"/>
          <w:szCs w:val="22"/>
        </w:rPr>
        <w:t xml:space="preserve"> in writing.</w:t>
      </w:r>
    </w:p>
    <w:p w14:paraId="36E8BA07" w14:textId="77777777" w:rsidR="00F319D7" w:rsidRDefault="00F319D7" w:rsidP="00F319D7">
      <w:pPr>
        <w:jc w:val="both"/>
        <w:rPr>
          <w:rFonts w:ascii="Verdana" w:hAnsi="Verdana"/>
          <w:sz w:val="22"/>
          <w:szCs w:val="22"/>
        </w:rPr>
      </w:pPr>
    </w:p>
    <w:p w14:paraId="19357EAE" w14:textId="77777777" w:rsidR="00F319D7" w:rsidRPr="000B0D3C" w:rsidRDefault="00F319D7" w:rsidP="00C71CE6">
      <w:pPr>
        <w:pStyle w:val="ListParagraph"/>
        <w:numPr>
          <w:ilvl w:val="0"/>
          <w:numId w:val="4"/>
        </w:numPr>
        <w:ind w:hanging="450"/>
        <w:jc w:val="both"/>
        <w:rPr>
          <w:rFonts w:ascii="Verdana" w:hAnsi="Verdana"/>
          <w:b/>
          <w:bCs/>
          <w:color w:val="1F497D" w:themeColor="text2"/>
        </w:rPr>
      </w:pPr>
      <w:r w:rsidRPr="000B0D3C">
        <w:rPr>
          <w:rFonts w:ascii="Verdana" w:hAnsi="Verdana"/>
          <w:b/>
          <w:bCs/>
          <w:color w:val="1F497D" w:themeColor="text2"/>
        </w:rPr>
        <w:t>How is PCS Addressing the Disclosure Obligation?</w:t>
      </w:r>
    </w:p>
    <w:p w14:paraId="34498E69" w14:textId="5C8D4B10" w:rsidR="00F319D7" w:rsidRDefault="00F319D7" w:rsidP="00F319D7">
      <w:pPr>
        <w:ind w:left="720"/>
        <w:jc w:val="both"/>
        <w:rPr>
          <w:rFonts w:ascii="Verdana" w:hAnsi="Verdana"/>
          <w:sz w:val="22"/>
          <w:szCs w:val="22"/>
        </w:rPr>
      </w:pPr>
      <w:r>
        <w:rPr>
          <w:rFonts w:ascii="Verdana" w:hAnsi="Verdana"/>
          <w:sz w:val="22"/>
          <w:szCs w:val="22"/>
        </w:rPr>
        <w:t xml:space="preserve">Like all broker dealers, PCS has created new documents to address the Disclosure obligation. The </w:t>
      </w:r>
      <w:r w:rsidRPr="00F319D7">
        <w:rPr>
          <w:rFonts w:ascii="Verdana" w:hAnsi="Verdana"/>
          <w:b/>
          <w:bCs/>
          <w:sz w:val="22"/>
          <w:szCs w:val="22"/>
        </w:rPr>
        <w:t>Client Relationship Summary</w:t>
      </w:r>
      <w:r>
        <w:rPr>
          <w:rFonts w:ascii="Verdana" w:hAnsi="Verdana"/>
          <w:sz w:val="22"/>
          <w:szCs w:val="22"/>
        </w:rPr>
        <w:t xml:space="preserve"> document, required by the SEC, is designed to cover the relationship and services offered through Private Client Services.</w:t>
      </w:r>
      <w:r w:rsidR="008955F9">
        <w:rPr>
          <w:rFonts w:ascii="Verdana" w:hAnsi="Verdana"/>
          <w:sz w:val="22"/>
          <w:szCs w:val="22"/>
        </w:rPr>
        <w:t xml:space="preserve"> See additional information below.</w:t>
      </w:r>
    </w:p>
    <w:p w14:paraId="04E92AA4" w14:textId="77777777" w:rsidR="00F319D7" w:rsidRDefault="00F319D7" w:rsidP="00F319D7">
      <w:pPr>
        <w:ind w:left="720"/>
        <w:jc w:val="both"/>
        <w:rPr>
          <w:rFonts w:ascii="Verdana" w:hAnsi="Verdana"/>
          <w:sz w:val="22"/>
          <w:szCs w:val="22"/>
        </w:rPr>
      </w:pPr>
    </w:p>
    <w:p w14:paraId="0015768D" w14:textId="2699BD1D" w:rsidR="00F319D7" w:rsidRDefault="00F319D7" w:rsidP="00F319D7">
      <w:pPr>
        <w:ind w:left="720"/>
        <w:jc w:val="both"/>
        <w:rPr>
          <w:rFonts w:ascii="Verdana" w:hAnsi="Verdana"/>
          <w:sz w:val="22"/>
          <w:szCs w:val="22"/>
        </w:rPr>
      </w:pPr>
      <w:r>
        <w:rPr>
          <w:rFonts w:ascii="Verdana" w:hAnsi="Verdana"/>
          <w:sz w:val="22"/>
          <w:szCs w:val="22"/>
        </w:rPr>
        <w:t xml:space="preserve">The </w:t>
      </w:r>
      <w:r w:rsidRPr="00F319D7">
        <w:rPr>
          <w:rFonts w:ascii="Verdana" w:hAnsi="Verdana"/>
          <w:b/>
          <w:bCs/>
          <w:sz w:val="22"/>
          <w:szCs w:val="22"/>
        </w:rPr>
        <w:t>Regulation Best Interest Disclosure</w:t>
      </w:r>
      <w:r>
        <w:rPr>
          <w:rFonts w:ascii="Verdana" w:hAnsi="Verdana"/>
          <w:sz w:val="22"/>
          <w:szCs w:val="22"/>
        </w:rPr>
        <w:t xml:space="preserve"> is a detailed explanation of the services offered through PCS, and the fees, costs, and expenses associated with the products and services available.</w:t>
      </w:r>
      <w:r w:rsidR="008955F9">
        <w:rPr>
          <w:rFonts w:ascii="Verdana" w:hAnsi="Verdana"/>
          <w:sz w:val="22"/>
          <w:szCs w:val="22"/>
        </w:rPr>
        <w:t xml:space="preserve"> See additional information below.</w:t>
      </w:r>
    </w:p>
    <w:p w14:paraId="11C9906A" w14:textId="77777777" w:rsidR="00F319D7" w:rsidRPr="003B3A6C" w:rsidRDefault="00F319D7" w:rsidP="00F319D7">
      <w:pPr>
        <w:jc w:val="both"/>
        <w:rPr>
          <w:rFonts w:ascii="Verdana" w:hAnsi="Verdana"/>
          <w:sz w:val="22"/>
          <w:szCs w:val="22"/>
        </w:rPr>
      </w:pPr>
    </w:p>
    <w:p w14:paraId="1C4253CE" w14:textId="07DDEC1F" w:rsidR="00C44B48" w:rsidRDefault="00C44B48" w:rsidP="00B60597">
      <w:pPr>
        <w:jc w:val="both"/>
        <w:rPr>
          <w:rFonts w:ascii="Verdana" w:hAnsi="Verdana"/>
          <w:sz w:val="22"/>
          <w:szCs w:val="22"/>
        </w:rPr>
      </w:pPr>
    </w:p>
    <w:p w14:paraId="67B8084C" w14:textId="6C4CCD48" w:rsidR="003F61ED" w:rsidRDefault="003F61ED" w:rsidP="00B60597">
      <w:pPr>
        <w:jc w:val="both"/>
        <w:rPr>
          <w:rFonts w:ascii="Verdana" w:hAnsi="Verdana"/>
          <w:b/>
          <w:bCs/>
          <w:sz w:val="22"/>
          <w:szCs w:val="22"/>
          <w:u w:val="single"/>
        </w:rPr>
      </w:pPr>
      <w:r>
        <w:rPr>
          <w:rFonts w:ascii="Verdana" w:hAnsi="Verdana"/>
          <w:b/>
          <w:bCs/>
          <w:sz w:val="22"/>
          <w:szCs w:val="22"/>
          <w:u w:val="single"/>
        </w:rPr>
        <w:t>Form CRS</w:t>
      </w:r>
    </w:p>
    <w:p w14:paraId="596C2922" w14:textId="77777777" w:rsidR="003F61ED" w:rsidRPr="003F61ED" w:rsidRDefault="003F61ED" w:rsidP="00B60597">
      <w:pPr>
        <w:jc w:val="both"/>
        <w:rPr>
          <w:rFonts w:ascii="Verdana" w:hAnsi="Verdana"/>
          <w:b/>
          <w:bCs/>
          <w:sz w:val="22"/>
          <w:szCs w:val="22"/>
          <w:u w:val="single"/>
        </w:rPr>
      </w:pPr>
    </w:p>
    <w:p w14:paraId="35E804A4" w14:textId="74E47D1C" w:rsidR="00F02D28" w:rsidRPr="000B0D3C" w:rsidRDefault="00F02D28" w:rsidP="00C71CE6">
      <w:pPr>
        <w:pStyle w:val="ListParagraph"/>
        <w:numPr>
          <w:ilvl w:val="0"/>
          <w:numId w:val="4"/>
        </w:numPr>
        <w:ind w:hanging="450"/>
        <w:jc w:val="both"/>
        <w:rPr>
          <w:rFonts w:ascii="Verdana" w:hAnsi="Verdana"/>
          <w:b/>
          <w:bCs/>
          <w:color w:val="365F91" w:themeColor="accent1" w:themeShade="BF"/>
        </w:rPr>
      </w:pPr>
      <w:r w:rsidRPr="000B0D3C">
        <w:rPr>
          <w:rFonts w:ascii="Verdana" w:hAnsi="Verdana"/>
          <w:b/>
          <w:bCs/>
          <w:color w:val="365F91" w:themeColor="accent1" w:themeShade="BF"/>
        </w:rPr>
        <w:t>What is Form CRS?</w:t>
      </w:r>
    </w:p>
    <w:p w14:paraId="2A768F73" w14:textId="61C3E85C" w:rsidR="00A003D0" w:rsidRDefault="00A003D0" w:rsidP="000B0D3C">
      <w:pPr>
        <w:ind w:left="720"/>
        <w:jc w:val="both"/>
        <w:rPr>
          <w:rFonts w:ascii="Verdana" w:hAnsi="Verdana"/>
          <w:sz w:val="22"/>
          <w:szCs w:val="22"/>
        </w:rPr>
      </w:pPr>
      <w:r w:rsidRPr="00F02D28">
        <w:rPr>
          <w:rFonts w:ascii="Verdana" w:hAnsi="Verdana"/>
          <w:sz w:val="22"/>
          <w:szCs w:val="22"/>
        </w:rPr>
        <w:t>This new form, known as the Client Relationship Summary, titled “Form CRS” for brokers and “Part 3 of Form ADV” for investment advisors, requires RIAs, broker-dealers, and associated persons to disseminate all material facts relating to the scope, terms, and potential conflicts of interest in regard to the relationship. These background facts, as well as any disciplinary history, must be provided to all retail customers.</w:t>
      </w:r>
    </w:p>
    <w:p w14:paraId="33B60E41" w14:textId="6A4D9E9D" w:rsidR="003B3A6C" w:rsidRDefault="003B3A6C" w:rsidP="00B60597">
      <w:pPr>
        <w:jc w:val="both"/>
        <w:rPr>
          <w:rFonts w:ascii="Verdana" w:hAnsi="Verdana"/>
          <w:sz w:val="22"/>
          <w:szCs w:val="22"/>
        </w:rPr>
      </w:pPr>
    </w:p>
    <w:p w14:paraId="3ECAE66B" w14:textId="7E2494AB" w:rsidR="003B3A6C" w:rsidRPr="00025FD1" w:rsidRDefault="003B3A6C" w:rsidP="00C71CE6">
      <w:pPr>
        <w:pStyle w:val="ListParagraph"/>
        <w:numPr>
          <w:ilvl w:val="0"/>
          <w:numId w:val="4"/>
        </w:numPr>
        <w:ind w:hanging="450"/>
        <w:jc w:val="both"/>
        <w:rPr>
          <w:rFonts w:ascii="Verdana" w:hAnsi="Verdana"/>
          <w:b/>
          <w:bCs/>
          <w:color w:val="1F497D" w:themeColor="text2"/>
        </w:rPr>
      </w:pPr>
      <w:r w:rsidRPr="00025FD1">
        <w:rPr>
          <w:rFonts w:ascii="Verdana" w:hAnsi="Verdana"/>
          <w:b/>
          <w:bCs/>
          <w:color w:val="1F497D" w:themeColor="text2"/>
        </w:rPr>
        <w:t>What is included in Form CRS?</w:t>
      </w:r>
    </w:p>
    <w:p w14:paraId="5C685004" w14:textId="1EFD279A" w:rsidR="003B3A6C" w:rsidRPr="00025FD1" w:rsidRDefault="003B3A6C" w:rsidP="000B0D3C">
      <w:pPr>
        <w:ind w:left="720"/>
        <w:jc w:val="both"/>
        <w:rPr>
          <w:rFonts w:ascii="Verdana" w:hAnsi="Verdana"/>
          <w:sz w:val="22"/>
          <w:szCs w:val="22"/>
        </w:rPr>
      </w:pPr>
      <w:r w:rsidRPr="00025FD1">
        <w:rPr>
          <w:rFonts w:ascii="Verdana" w:hAnsi="Verdana"/>
          <w:sz w:val="22"/>
          <w:szCs w:val="22"/>
        </w:rPr>
        <w:t>The SEC requires every firm’s relationship summary document to include an introduction, relationships and services, fees, costs, conflicts, standard of conduct, disciplinary history, and any additional information the firm deems pertinent to disclose.</w:t>
      </w:r>
    </w:p>
    <w:p w14:paraId="70E50454" w14:textId="1CE3EC00" w:rsidR="00D5429F" w:rsidRPr="00025FD1" w:rsidRDefault="00D5429F" w:rsidP="000B0D3C">
      <w:pPr>
        <w:ind w:left="720"/>
        <w:jc w:val="both"/>
        <w:rPr>
          <w:rFonts w:ascii="Verdana" w:hAnsi="Verdana"/>
          <w:sz w:val="22"/>
          <w:szCs w:val="22"/>
        </w:rPr>
      </w:pPr>
    </w:p>
    <w:p w14:paraId="54973BB8" w14:textId="1264C06C" w:rsidR="001765A8" w:rsidRDefault="00D5429F" w:rsidP="00400F00">
      <w:pPr>
        <w:ind w:left="720"/>
        <w:jc w:val="both"/>
        <w:rPr>
          <w:rFonts w:ascii="Verdana" w:hAnsi="Verdana"/>
          <w:sz w:val="22"/>
          <w:szCs w:val="22"/>
        </w:rPr>
      </w:pPr>
      <w:r w:rsidRPr="00025FD1">
        <w:rPr>
          <w:rFonts w:ascii="Verdana" w:hAnsi="Verdana"/>
          <w:sz w:val="22"/>
          <w:szCs w:val="22"/>
        </w:rPr>
        <w:t xml:space="preserve">Form CRS also includes a variety of questions retail customers are encouraged to discuss with their financial professional. </w:t>
      </w:r>
      <w:bookmarkStart w:id="1" w:name="_Hlk45810368"/>
      <w:r w:rsidRPr="00025FD1">
        <w:rPr>
          <w:rFonts w:ascii="Verdana" w:hAnsi="Verdana"/>
          <w:sz w:val="22"/>
          <w:szCs w:val="22"/>
        </w:rPr>
        <w:t xml:space="preserve">Review the document in detail, including these questions, by visiting </w:t>
      </w:r>
      <w:r w:rsidR="0022704C" w:rsidRPr="00025FD1">
        <w:rPr>
          <w:rFonts w:ascii="Verdana" w:hAnsi="Verdana"/>
          <w:sz w:val="22"/>
          <w:szCs w:val="22"/>
        </w:rPr>
        <w:t xml:space="preserve">the </w:t>
      </w:r>
      <w:hyperlink r:id="rId10" w:history="1">
        <w:r w:rsidR="0022704C" w:rsidRPr="00025FD1">
          <w:rPr>
            <w:rStyle w:val="Hyperlink"/>
            <w:rFonts w:ascii="Verdana" w:hAnsi="Verdana"/>
            <w:sz w:val="22"/>
            <w:szCs w:val="22"/>
          </w:rPr>
          <w:t>Recommendation Guidance</w:t>
        </w:r>
      </w:hyperlink>
      <w:r w:rsidR="0022704C" w:rsidRPr="00025FD1">
        <w:rPr>
          <w:rFonts w:ascii="Verdana" w:hAnsi="Verdana"/>
          <w:sz w:val="22"/>
          <w:szCs w:val="22"/>
        </w:rPr>
        <w:t xml:space="preserve"> section of the Advisor Resources Center on </w:t>
      </w:r>
      <w:hyperlink r:id="rId11" w:history="1">
        <w:r w:rsidR="0022704C" w:rsidRPr="00025FD1">
          <w:rPr>
            <w:rStyle w:val="Hyperlink"/>
            <w:rFonts w:ascii="Verdana" w:hAnsi="Verdana"/>
            <w:sz w:val="22"/>
            <w:szCs w:val="22"/>
          </w:rPr>
          <w:t>www.pcsbd.net</w:t>
        </w:r>
      </w:hyperlink>
      <w:r w:rsidR="0022704C" w:rsidRPr="00025FD1">
        <w:rPr>
          <w:rFonts w:ascii="Verdana" w:hAnsi="Verdana"/>
          <w:sz w:val="22"/>
          <w:szCs w:val="22"/>
        </w:rPr>
        <w:t>.</w:t>
      </w:r>
      <w:r w:rsidR="0022704C">
        <w:rPr>
          <w:rFonts w:ascii="Verdana" w:hAnsi="Verdana"/>
          <w:sz w:val="22"/>
          <w:szCs w:val="22"/>
        </w:rPr>
        <w:t xml:space="preserve"> </w:t>
      </w:r>
    </w:p>
    <w:p w14:paraId="3E36BA17" w14:textId="77777777" w:rsidR="00430660" w:rsidRPr="00400F00" w:rsidRDefault="00430660" w:rsidP="00400F00">
      <w:pPr>
        <w:ind w:left="720"/>
        <w:jc w:val="both"/>
        <w:rPr>
          <w:rFonts w:ascii="Verdana" w:hAnsi="Verdana"/>
          <w:sz w:val="22"/>
          <w:szCs w:val="22"/>
        </w:rPr>
      </w:pPr>
    </w:p>
    <w:bookmarkEnd w:id="1"/>
    <w:p w14:paraId="216A040C" w14:textId="77777777" w:rsidR="00A003D0" w:rsidRPr="001438D3" w:rsidRDefault="00A003D0" w:rsidP="00B60597">
      <w:pPr>
        <w:jc w:val="both"/>
        <w:rPr>
          <w:rFonts w:ascii="Verdana" w:hAnsi="Verdana"/>
        </w:rPr>
      </w:pPr>
    </w:p>
    <w:p w14:paraId="2FC9982F" w14:textId="77777777" w:rsidR="00A003D0" w:rsidRPr="000B0D3C" w:rsidRDefault="00A003D0" w:rsidP="00C71CE6">
      <w:pPr>
        <w:pStyle w:val="ListParagraph"/>
        <w:numPr>
          <w:ilvl w:val="0"/>
          <w:numId w:val="4"/>
        </w:numPr>
        <w:ind w:hanging="540"/>
        <w:jc w:val="both"/>
        <w:rPr>
          <w:rFonts w:ascii="Verdana" w:hAnsi="Verdana"/>
          <w:b/>
          <w:bCs/>
          <w:color w:val="365F91" w:themeColor="accent1" w:themeShade="BF"/>
        </w:rPr>
      </w:pPr>
      <w:r w:rsidRPr="000B0D3C">
        <w:rPr>
          <w:rFonts w:ascii="Verdana" w:hAnsi="Verdana"/>
          <w:b/>
          <w:bCs/>
          <w:color w:val="365F91" w:themeColor="accent1" w:themeShade="BF"/>
        </w:rPr>
        <w:lastRenderedPageBreak/>
        <w:t>Who is required to receive Form CRS and when?</w:t>
      </w:r>
    </w:p>
    <w:p w14:paraId="491486FB" w14:textId="77777777" w:rsidR="001765A8" w:rsidRPr="00025FD1" w:rsidRDefault="00A003D0" w:rsidP="001765A8">
      <w:pPr>
        <w:pStyle w:val="Default"/>
        <w:ind w:left="720"/>
        <w:rPr>
          <w:sz w:val="22"/>
          <w:szCs w:val="22"/>
        </w:rPr>
      </w:pPr>
      <w:r w:rsidRPr="00C44B48">
        <w:rPr>
          <w:sz w:val="22"/>
          <w:szCs w:val="22"/>
        </w:rPr>
        <w:t xml:space="preserve">Regulation BI requires delivery of Form CRS to all retail </w:t>
      </w:r>
      <w:r w:rsidR="00C44B48">
        <w:rPr>
          <w:sz w:val="22"/>
          <w:szCs w:val="22"/>
        </w:rPr>
        <w:t xml:space="preserve">customers. PCS will be mailing Form CRS to all current retail </w:t>
      </w:r>
      <w:r w:rsidR="00C44B48" w:rsidRPr="00025FD1">
        <w:rPr>
          <w:sz w:val="22"/>
          <w:szCs w:val="22"/>
        </w:rPr>
        <w:t xml:space="preserve">clients </w:t>
      </w:r>
      <w:r w:rsidR="001765A8" w:rsidRPr="00025FD1">
        <w:rPr>
          <w:sz w:val="22"/>
          <w:szCs w:val="22"/>
        </w:rPr>
        <w:t>as of June 29</w:t>
      </w:r>
      <w:r w:rsidR="001765A8" w:rsidRPr="00025FD1">
        <w:rPr>
          <w:sz w:val="22"/>
          <w:szCs w:val="22"/>
          <w:vertAlign w:val="superscript"/>
        </w:rPr>
        <w:t>th</w:t>
      </w:r>
      <w:r w:rsidR="001765A8" w:rsidRPr="00025FD1">
        <w:rPr>
          <w:sz w:val="22"/>
          <w:szCs w:val="22"/>
        </w:rPr>
        <w:t xml:space="preserve"> </w:t>
      </w:r>
      <w:r w:rsidR="00C44B48" w:rsidRPr="00025FD1">
        <w:rPr>
          <w:sz w:val="22"/>
          <w:szCs w:val="22"/>
        </w:rPr>
        <w:t>by July 30</w:t>
      </w:r>
      <w:r w:rsidR="00C44B48" w:rsidRPr="00025FD1">
        <w:rPr>
          <w:sz w:val="22"/>
          <w:szCs w:val="22"/>
          <w:vertAlign w:val="superscript"/>
        </w:rPr>
        <w:t>th</w:t>
      </w:r>
      <w:r w:rsidR="00C44B48" w:rsidRPr="00025FD1">
        <w:rPr>
          <w:sz w:val="22"/>
          <w:szCs w:val="22"/>
        </w:rPr>
        <w:t xml:space="preserve">. </w:t>
      </w:r>
      <w:r w:rsidR="001765A8" w:rsidRPr="00025FD1">
        <w:rPr>
          <w:sz w:val="22"/>
          <w:szCs w:val="22"/>
        </w:rPr>
        <w:t xml:space="preserve">For all new accounts opened June 30 or after, the rep must deliver Form CRS for each new account. </w:t>
      </w:r>
    </w:p>
    <w:p w14:paraId="7843084E" w14:textId="3EA2A13B" w:rsidR="00C44B48" w:rsidRPr="00025FD1" w:rsidRDefault="00C44B48" w:rsidP="00B60597">
      <w:pPr>
        <w:jc w:val="both"/>
        <w:rPr>
          <w:rFonts w:ascii="Verdana" w:hAnsi="Verdana"/>
          <w:sz w:val="22"/>
          <w:szCs w:val="22"/>
        </w:rPr>
      </w:pPr>
    </w:p>
    <w:p w14:paraId="3BCABE20" w14:textId="3FF69740" w:rsidR="00A003D0" w:rsidRPr="00025FD1" w:rsidRDefault="00C44B48" w:rsidP="000B0D3C">
      <w:pPr>
        <w:ind w:left="720"/>
        <w:jc w:val="both"/>
        <w:rPr>
          <w:rFonts w:ascii="Verdana" w:hAnsi="Verdana"/>
          <w:sz w:val="22"/>
          <w:szCs w:val="22"/>
        </w:rPr>
      </w:pPr>
      <w:r w:rsidRPr="00025FD1">
        <w:rPr>
          <w:rFonts w:ascii="Verdana" w:hAnsi="Verdana"/>
          <w:sz w:val="22"/>
          <w:szCs w:val="22"/>
        </w:rPr>
        <w:t xml:space="preserve">Additionally, </w:t>
      </w:r>
      <w:r w:rsidR="00A003D0" w:rsidRPr="00025FD1">
        <w:rPr>
          <w:rFonts w:ascii="Verdana" w:hAnsi="Verdana"/>
          <w:sz w:val="22"/>
          <w:szCs w:val="22"/>
        </w:rPr>
        <w:t>Form CRS will be</w:t>
      </w:r>
      <w:r w:rsidRPr="00025FD1">
        <w:rPr>
          <w:rFonts w:ascii="Verdana" w:hAnsi="Verdana"/>
          <w:sz w:val="22"/>
          <w:szCs w:val="22"/>
        </w:rPr>
        <w:t xml:space="preserve"> required</w:t>
      </w:r>
      <w:r w:rsidR="00A003D0" w:rsidRPr="00025FD1">
        <w:rPr>
          <w:rFonts w:ascii="Verdana" w:hAnsi="Verdana"/>
          <w:sz w:val="22"/>
          <w:szCs w:val="22"/>
        </w:rPr>
        <w:t>:</w:t>
      </w:r>
    </w:p>
    <w:p w14:paraId="6FE29844" w14:textId="1F84DCDE" w:rsidR="00A003D0" w:rsidRPr="00025FD1" w:rsidRDefault="00A003D0" w:rsidP="001765A8">
      <w:pPr>
        <w:pStyle w:val="ListParagraph"/>
        <w:numPr>
          <w:ilvl w:val="0"/>
          <w:numId w:val="3"/>
        </w:numPr>
        <w:tabs>
          <w:tab w:val="left" w:pos="1080"/>
        </w:tabs>
        <w:ind w:left="1080"/>
        <w:jc w:val="both"/>
        <w:rPr>
          <w:rFonts w:ascii="Verdana" w:hAnsi="Verdana"/>
        </w:rPr>
      </w:pPr>
      <w:r w:rsidRPr="00025FD1">
        <w:rPr>
          <w:rFonts w:ascii="Verdana" w:hAnsi="Verdana"/>
        </w:rPr>
        <w:t>At the start of any new relationship</w:t>
      </w:r>
      <w:r w:rsidR="001765A8" w:rsidRPr="00025FD1">
        <w:rPr>
          <w:rFonts w:ascii="Verdana" w:hAnsi="Verdana"/>
        </w:rPr>
        <w:t>, new account,</w:t>
      </w:r>
      <w:r w:rsidRPr="00025FD1">
        <w:rPr>
          <w:rFonts w:ascii="Verdana" w:hAnsi="Verdana"/>
        </w:rPr>
        <w:t xml:space="preserve"> or </w:t>
      </w:r>
      <w:r w:rsidR="001765A8" w:rsidRPr="00025FD1">
        <w:rPr>
          <w:rFonts w:ascii="Verdana" w:hAnsi="Verdana"/>
        </w:rPr>
        <w:t xml:space="preserve">investment </w:t>
      </w:r>
      <w:r w:rsidRPr="00025FD1">
        <w:rPr>
          <w:rFonts w:ascii="Verdana" w:hAnsi="Verdana"/>
        </w:rPr>
        <w:t>recommendation; and</w:t>
      </w:r>
    </w:p>
    <w:p w14:paraId="62F84BD5" w14:textId="7F5C8D2C" w:rsidR="00A003D0" w:rsidRPr="00025FD1" w:rsidRDefault="00A003D0" w:rsidP="001765A8">
      <w:pPr>
        <w:pStyle w:val="ListParagraph"/>
        <w:numPr>
          <w:ilvl w:val="0"/>
          <w:numId w:val="3"/>
        </w:numPr>
        <w:tabs>
          <w:tab w:val="left" w:pos="1080"/>
        </w:tabs>
        <w:ind w:left="1080"/>
        <w:jc w:val="both"/>
        <w:rPr>
          <w:rFonts w:ascii="Verdana" w:hAnsi="Verdana"/>
        </w:rPr>
      </w:pPr>
      <w:r w:rsidRPr="00025FD1">
        <w:rPr>
          <w:rFonts w:ascii="Verdana" w:hAnsi="Verdana"/>
        </w:rPr>
        <w:t>When there is a change to any account</w:t>
      </w:r>
      <w:r w:rsidR="001765A8" w:rsidRPr="00025FD1">
        <w:rPr>
          <w:rFonts w:ascii="Verdana" w:hAnsi="Verdana"/>
        </w:rPr>
        <w:t xml:space="preserve"> registration </w:t>
      </w:r>
      <w:r w:rsidRPr="00025FD1">
        <w:rPr>
          <w:rFonts w:ascii="Verdana" w:hAnsi="Verdana"/>
        </w:rPr>
        <w:t>belonging to the retail investor; and</w:t>
      </w:r>
    </w:p>
    <w:p w14:paraId="6A821034" w14:textId="77777777" w:rsidR="00A003D0" w:rsidRPr="00C44B48" w:rsidRDefault="00A003D0" w:rsidP="000B0D3C">
      <w:pPr>
        <w:pStyle w:val="ListParagraph"/>
        <w:numPr>
          <w:ilvl w:val="0"/>
          <w:numId w:val="3"/>
        </w:numPr>
        <w:tabs>
          <w:tab w:val="left" w:pos="1080"/>
        </w:tabs>
        <w:ind w:firstLine="0"/>
        <w:jc w:val="both"/>
        <w:rPr>
          <w:rFonts w:ascii="Verdana" w:hAnsi="Verdana"/>
        </w:rPr>
      </w:pPr>
      <w:r w:rsidRPr="00C44B48">
        <w:rPr>
          <w:rFonts w:ascii="Verdana" w:hAnsi="Verdana"/>
        </w:rPr>
        <w:t>When any of the disclosures in Form CRS change; and</w:t>
      </w:r>
    </w:p>
    <w:p w14:paraId="4FDC475F" w14:textId="51898EE3" w:rsidR="003B3A6C" w:rsidRDefault="00A003D0" w:rsidP="000B0D3C">
      <w:pPr>
        <w:pStyle w:val="ListParagraph"/>
        <w:numPr>
          <w:ilvl w:val="0"/>
          <w:numId w:val="3"/>
        </w:numPr>
        <w:tabs>
          <w:tab w:val="left" w:pos="1080"/>
        </w:tabs>
        <w:ind w:firstLine="0"/>
        <w:jc w:val="both"/>
        <w:rPr>
          <w:rFonts w:ascii="Verdana" w:hAnsi="Verdana"/>
        </w:rPr>
      </w:pPr>
      <w:r w:rsidRPr="00AB187C">
        <w:rPr>
          <w:rFonts w:ascii="Verdana" w:hAnsi="Verdana"/>
        </w:rPr>
        <w:t xml:space="preserve">Upon request of the retail client. </w:t>
      </w:r>
    </w:p>
    <w:p w14:paraId="253B8BAF" w14:textId="77777777" w:rsidR="000B0D3C" w:rsidRPr="000B0D3C" w:rsidRDefault="000B0D3C" w:rsidP="000B0D3C">
      <w:pPr>
        <w:ind w:left="720"/>
        <w:jc w:val="both"/>
        <w:rPr>
          <w:rFonts w:ascii="Verdana" w:hAnsi="Verdana"/>
        </w:rPr>
      </w:pPr>
    </w:p>
    <w:p w14:paraId="14DFDDA8" w14:textId="029CA677" w:rsidR="007051B6" w:rsidRPr="000B0D3C" w:rsidRDefault="007051B6" w:rsidP="00C71CE6">
      <w:pPr>
        <w:pStyle w:val="ListParagraph"/>
        <w:numPr>
          <w:ilvl w:val="0"/>
          <w:numId w:val="4"/>
        </w:numPr>
        <w:ind w:hanging="450"/>
        <w:jc w:val="both"/>
        <w:rPr>
          <w:rFonts w:ascii="Verdana" w:hAnsi="Verdana"/>
          <w:b/>
          <w:bCs/>
          <w:color w:val="365F91" w:themeColor="accent1" w:themeShade="BF"/>
        </w:rPr>
      </w:pPr>
      <w:r w:rsidRPr="000B0D3C">
        <w:rPr>
          <w:rFonts w:ascii="Verdana" w:hAnsi="Verdana"/>
          <w:b/>
          <w:bCs/>
          <w:color w:val="365F91" w:themeColor="accent1" w:themeShade="BF"/>
        </w:rPr>
        <w:t>How is PCS documenting the delivery of Form CRS?</w:t>
      </w:r>
    </w:p>
    <w:p w14:paraId="56ADD605" w14:textId="77777777" w:rsidR="007051B6" w:rsidRDefault="007051B6" w:rsidP="000B0D3C">
      <w:pPr>
        <w:ind w:left="720"/>
        <w:jc w:val="both"/>
        <w:rPr>
          <w:rFonts w:ascii="Verdana" w:hAnsi="Verdana"/>
          <w:sz w:val="22"/>
          <w:szCs w:val="22"/>
        </w:rPr>
      </w:pPr>
      <w:r>
        <w:rPr>
          <w:rFonts w:ascii="Verdana" w:hAnsi="Verdana"/>
          <w:sz w:val="22"/>
          <w:szCs w:val="22"/>
        </w:rPr>
        <w:t xml:space="preserve">PCS has purchased Tracker BI from Docupace and will be using it for delivery tracking of Form CRS. The Tracker BI solution is an electronic approach to documentation using a multi-step paperless workflow to document delivery of Form CRS and other disclosures based on different parameters within the system. </w:t>
      </w:r>
    </w:p>
    <w:p w14:paraId="06B73222" w14:textId="77777777" w:rsidR="007051B6" w:rsidRDefault="007051B6" w:rsidP="000B0D3C">
      <w:pPr>
        <w:ind w:left="720"/>
        <w:jc w:val="both"/>
        <w:rPr>
          <w:rFonts w:ascii="Verdana" w:hAnsi="Verdana"/>
          <w:sz w:val="22"/>
          <w:szCs w:val="22"/>
        </w:rPr>
      </w:pPr>
    </w:p>
    <w:p w14:paraId="1DEA13E7" w14:textId="257CC4FD" w:rsidR="007051B6" w:rsidRDefault="007051B6" w:rsidP="000B0D3C">
      <w:pPr>
        <w:ind w:left="720"/>
        <w:jc w:val="both"/>
        <w:rPr>
          <w:rFonts w:ascii="Verdana" w:hAnsi="Verdana"/>
          <w:sz w:val="22"/>
          <w:szCs w:val="22"/>
        </w:rPr>
      </w:pPr>
      <w:r>
        <w:rPr>
          <w:rFonts w:ascii="Verdana" w:hAnsi="Verdana"/>
          <w:sz w:val="22"/>
          <w:szCs w:val="22"/>
        </w:rPr>
        <w:t xml:space="preserve">Additional detail and training on Tracker BI will be disseminated shortly.  </w:t>
      </w:r>
    </w:p>
    <w:p w14:paraId="07032FC0" w14:textId="77777777" w:rsidR="00137389" w:rsidRDefault="00137389" w:rsidP="000B0D3C">
      <w:pPr>
        <w:ind w:left="720"/>
        <w:jc w:val="both"/>
        <w:rPr>
          <w:rFonts w:ascii="Verdana" w:hAnsi="Verdana"/>
          <w:sz w:val="22"/>
          <w:szCs w:val="22"/>
        </w:rPr>
      </w:pPr>
    </w:p>
    <w:p w14:paraId="20CE9461" w14:textId="301EFE9E" w:rsidR="007051B6" w:rsidRDefault="007051B6" w:rsidP="00B60597">
      <w:pPr>
        <w:jc w:val="both"/>
        <w:rPr>
          <w:rFonts w:ascii="Verdana" w:hAnsi="Verdana"/>
          <w:sz w:val="22"/>
          <w:szCs w:val="22"/>
        </w:rPr>
      </w:pPr>
    </w:p>
    <w:p w14:paraId="6BAB173B" w14:textId="40729CEA" w:rsidR="007051B6" w:rsidRPr="000B0D3C" w:rsidRDefault="007051B6" w:rsidP="00C71CE6">
      <w:pPr>
        <w:pStyle w:val="ListParagraph"/>
        <w:numPr>
          <w:ilvl w:val="0"/>
          <w:numId w:val="4"/>
        </w:numPr>
        <w:ind w:hanging="450"/>
        <w:jc w:val="both"/>
        <w:rPr>
          <w:rFonts w:ascii="Verdana" w:hAnsi="Verdana"/>
          <w:b/>
          <w:bCs/>
          <w:color w:val="365F91" w:themeColor="accent1" w:themeShade="BF"/>
        </w:rPr>
      </w:pPr>
      <w:r w:rsidRPr="000B0D3C">
        <w:rPr>
          <w:rFonts w:ascii="Verdana" w:hAnsi="Verdana"/>
          <w:b/>
          <w:bCs/>
          <w:color w:val="365F91" w:themeColor="accent1" w:themeShade="BF"/>
        </w:rPr>
        <w:t>Do new retail customers have to formally acknowledge receipt of Form CRS?</w:t>
      </w:r>
    </w:p>
    <w:p w14:paraId="07FA83D2" w14:textId="680514E7" w:rsidR="007051B6" w:rsidRDefault="00E10147" w:rsidP="000B0D3C">
      <w:pPr>
        <w:ind w:left="720"/>
        <w:jc w:val="both"/>
        <w:rPr>
          <w:rFonts w:ascii="Verdana" w:hAnsi="Verdana"/>
          <w:sz w:val="22"/>
          <w:szCs w:val="22"/>
        </w:rPr>
      </w:pPr>
      <w:r>
        <w:rPr>
          <w:rFonts w:ascii="Verdana" w:hAnsi="Verdana"/>
          <w:sz w:val="22"/>
          <w:szCs w:val="22"/>
        </w:rPr>
        <w:t xml:space="preserve">Yes, </w:t>
      </w:r>
      <w:r w:rsidR="007051B6">
        <w:rPr>
          <w:rFonts w:ascii="Verdana" w:hAnsi="Verdana"/>
          <w:sz w:val="22"/>
          <w:szCs w:val="22"/>
        </w:rPr>
        <w:t>PCS has amended the Customer Account Form</w:t>
      </w:r>
      <w:r>
        <w:rPr>
          <w:rFonts w:ascii="Verdana" w:hAnsi="Verdana"/>
          <w:sz w:val="22"/>
          <w:szCs w:val="22"/>
        </w:rPr>
        <w:t xml:space="preserve"> in two places to address requirements under Regulation Best Interest, including the addition of a brief attestation above the client signature section in which the client will acknowledge receipt of Form CRS.</w:t>
      </w:r>
    </w:p>
    <w:p w14:paraId="25FFC7F9" w14:textId="77777777" w:rsidR="00864C8D" w:rsidRDefault="00864C8D" w:rsidP="000B0D3C">
      <w:pPr>
        <w:ind w:left="720"/>
        <w:jc w:val="both"/>
        <w:rPr>
          <w:rFonts w:ascii="Verdana" w:hAnsi="Verdana"/>
          <w:sz w:val="22"/>
          <w:szCs w:val="22"/>
        </w:rPr>
      </w:pPr>
    </w:p>
    <w:p w14:paraId="6731CCB3" w14:textId="7C86DB98" w:rsidR="000F1A08" w:rsidRDefault="000F1A08" w:rsidP="000F1A08">
      <w:pPr>
        <w:jc w:val="both"/>
        <w:rPr>
          <w:rFonts w:ascii="Verdana" w:hAnsi="Verdana"/>
          <w:sz w:val="22"/>
          <w:szCs w:val="22"/>
        </w:rPr>
      </w:pPr>
    </w:p>
    <w:p w14:paraId="5CA35DFD" w14:textId="5C4B1F5F" w:rsidR="000F1A08" w:rsidRPr="00B95EC3" w:rsidRDefault="000F1A08" w:rsidP="00C71CE6">
      <w:pPr>
        <w:pStyle w:val="ListParagraph"/>
        <w:numPr>
          <w:ilvl w:val="0"/>
          <w:numId w:val="4"/>
        </w:numPr>
        <w:jc w:val="both"/>
        <w:rPr>
          <w:rFonts w:ascii="Verdana" w:hAnsi="Verdana"/>
          <w:b/>
          <w:bCs/>
          <w:color w:val="365F91" w:themeColor="accent1" w:themeShade="BF"/>
        </w:rPr>
      </w:pPr>
      <w:r w:rsidRPr="00B95EC3">
        <w:rPr>
          <w:rFonts w:ascii="Verdana" w:hAnsi="Verdana"/>
          <w:b/>
          <w:bCs/>
          <w:color w:val="365F91" w:themeColor="accent1" w:themeShade="BF"/>
        </w:rPr>
        <w:t>I received a verbal request during a phone call to send Form CRS via email. Is verbal consent sufficient for electronic delivery?</w:t>
      </w:r>
    </w:p>
    <w:p w14:paraId="48FF735A" w14:textId="0AF9167F" w:rsidR="000F1A08" w:rsidRPr="00B95EC3" w:rsidRDefault="000F1A08" w:rsidP="000F1A08">
      <w:pPr>
        <w:pStyle w:val="ListParagraph"/>
        <w:ind w:left="450"/>
        <w:jc w:val="both"/>
        <w:rPr>
          <w:rFonts w:ascii="Verdana" w:hAnsi="Verdana"/>
          <w:b/>
          <w:bCs/>
          <w:color w:val="365F91" w:themeColor="accent1" w:themeShade="BF"/>
        </w:rPr>
      </w:pPr>
    </w:p>
    <w:p w14:paraId="32AB879A" w14:textId="77777777" w:rsidR="000F1A08" w:rsidRPr="00B95EC3" w:rsidRDefault="000F1A08" w:rsidP="000F1A08">
      <w:pPr>
        <w:pStyle w:val="ListParagraph"/>
        <w:ind w:left="450"/>
        <w:jc w:val="both"/>
        <w:rPr>
          <w:rFonts w:ascii="Verdana" w:hAnsi="Verdana"/>
        </w:rPr>
      </w:pPr>
      <w:r w:rsidRPr="00B95EC3">
        <w:rPr>
          <w:rFonts w:ascii="Verdana" w:hAnsi="Verdana"/>
        </w:rPr>
        <w:t xml:space="preserve">  No, verbal consent is not sufficient. Electronic delivery is acceptable only when using</w:t>
      </w:r>
    </w:p>
    <w:p w14:paraId="3F9B0BDF" w14:textId="5AAF3C17" w:rsidR="00430660" w:rsidRPr="00430660" w:rsidRDefault="000F1A08" w:rsidP="00430660">
      <w:pPr>
        <w:pStyle w:val="ListParagraph"/>
        <w:ind w:left="450"/>
        <w:jc w:val="both"/>
        <w:rPr>
          <w:rFonts w:ascii="Verdana" w:hAnsi="Verdana"/>
        </w:rPr>
      </w:pPr>
      <w:r w:rsidRPr="00B95EC3">
        <w:rPr>
          <w:rFonts w:ascii="Verdana" w:hAnsi="Verdana"/>
        </w:rPr>
        <w:t xml:space="preserve">  BI Tracker in Docupace.  Otherwise, Form CRS must be mailed or hand-delivered.</w:t>
      </w:r>
    </w:p>
    <w:p w14:paraId="260044C3" w14:textId="735AB691" w:rsidR="00AE2272" w:rsidRDefault="00AE2272" w:rsidP="00B60597">
      <w:pPr>
        <w:jc w:val="both"/>
        <w:rPr>
          <w:rFonts w:ascii="Verdana" w:hAnsi="Verdana"/>
          <w:sz w:val="22"/>
          <w:szCs w:val="22"/>
        </w:rPr>
      </w:pPr>
    </w:p>
    <w:p w14:paraId="376A3166" w14:textId="77777777" w:rsidR="00AE2272" w:rsidRPr="00AE2272" w:rsidRDefault="00AE2272" w:rsidP="00AE2272">
      <w:pPr>
        <w:tabs>
          <w:tab w:val="left" w:pos="90"/>
        </w:tabs>
        <w:jc w:val="both"/>
        <w:rPr>
          <w:rFonts w:ascii="Verdana" w:hAnsi="Verdana"/>
          <w:b/>
          <w:bCs/>
          <w:sz w:val="22"/>
          <w:szCs w:val="22"/>
          <w:u w:val="single"/>
        </w:rPr>
      </w:pPr>
      <w:r>
        <w:rPr>
          <w:rFonts w:ascii="Verdana" w:hAnsi="Verdana"/>
          <w:b/>
          <w:bCs/>
          <w:sz w:val="22"/>
          <w:szCs w:val="22"/>
          <w:u w:val="single"/>
        </w:rPr>
        <w:t>Regulation Best Interest Disclosure Document</w:t>
      </w:r>
    </w:p>
    <w:p w14:paraId="7FF5E267" w14:textId="77777777" w:rsidR="00AE2272" w:rsidRDefault="00AE2272" w:rsidP="00AE2272">
      <w:pPr>
        <w:tabs>
          <w:tab w:val="left" w:pos="90"/>
        </w:tabs>
        <w:jc w:val="both"/>
        <w:rPr>
          <w:rFonts w:ascii="Verdana" w:hAnsi="Verdana"/>
          <w:sz w:val="22"/>
          <w:szCs w:val="22"/>
        </w:rPr>
      </w:pPr>
    </w:p>
    <w:p w14:paraId="16FB8D25" w14:textId="77777777" w:rsidR="00AE2272" w:rsidRPr="000B0D3C" w:rsidRDefault="00AE2272" w:rsidP="00C71CE6">
      <w:pPr>
        <w:pStyle w:val="ListParagraph"/>
        <w:numPr>
          <w:ilvl w:val="0"/>
          <w:numId w:val="4"/>
        </w:numPr>
        <w:jc w:val="both"/>
        <w:rPr>
          <w:rFonts w:ascii="Verdana" w:hAnsi="Verdana"/>
          <w:b/>
          <w:bCs/>
          <w:color w:val="365F91" w:themeColor="accent1" w:themeShade="BF"/>
        </w:rPr>
      </w:pPr>
      <w:bookmarkStart w:id="2" w:name="_Hlk42864218"/>
      <w:r w:rsidRPr="000B0D3C">
        <w:rPr>
          <w:rFonts w:ascii="Verdana" w:hAnsi="Verdana"/>
          <w:b/>
          <w:bCs/>
          <w:color w:val="365F91" w:themeColor="accent1" w:themeShade="BF"/>
        </w:rPr>
        <w:t xml:space="preserve">What is the Regulation Best Interest Disclosure </w:t>
      </w:r>
      <w:r w:rsidRPr="00864C8D">
        <w:rPr>
          <w:rFonts w:ascii="Verdana" w:hAnsi="Verdana"/>
          <w:b/>
          <w:bCs/>
          <w:color w:val="365F91" w:themeColor="accent1" w:themeShade="BF"/>
        </w:rPr>
        <w:t>Document</w:t>
      </w:r>
      <w:r w:rsidRPr="000B0D3C">
        <w:rPr>
          <w:rFonts w:ascii="Verdana" w:hAnsi="Verdana"/>
          <w:b/>
          <w:bCs/>
          <w:color w:val="365F91" w:themeColor="accent1" w:themeShade="BF"/>
        </w:rPr>
        <w:t>?</w:t>
      </w:r>
    </w:p>
    <w:bookmarkEnd w:id="2"/>
    <w:p w14:paraId="4B628481" w14:textId="4B367AE6" w:rsidR="00AE2272" w:rsidRDefault="00AE2272" w:rsidP="00AE2272">
      <w:pPr>
        <w:ind w:left="720"/>
        <w:jc w:val="both"/>
        <w:rPr>
          <w:rFonts w:ascii="Verdana" w:hAnsi="Verdana"/>
          <w:sz w:val="22"/>
          <w:szCs w:val="22"/>
        </w:rPr>
      </w:pPr>
      <w:r>
        <w:rPr>
          <w:rFonts w:ascii="Verdana" w:hAnsi="Verdana"/>
          <w:sz w:val="22"/>
          <w:szCs w:val="22"/>
        </w:rPr>
        <w:t>The Regulation Best Interest Disclosure is a twelve-page document explaining the important information and details of PCS offerings that retail customers must be aware of before opening an account or engaging in securities transactions with our firm to ensure all recommendations are in the customers’ best interest.</w:t>
      </w:r>
    </w:p>
    <w:p w14:paraId="0415A233" w14:textId="4CFC2D6F" w:rsidR="008955F9" w:rsidRDefault="008955F9" w:rsidP="00AE2272">
      <w:pPr>
        <w:ind w:left="720"/>
        <w:jc w:val="both"/>
        <w:rPr>
          <w:rFonts w:ascii="Verdana" w:hAnsi="Verdana"/>
          <w:sz w:val="22"/>
          <w:szCs w:val="22"/>
        </w:rPr>
      </w:pPr>
    </w:p>
    <w:p w14:paraId="36A44281" w14:textId="281C3C22" w:rsidR="008955F9" w:rsidRPr="00400F00" w:rsidRDefault="008955F9" w:rsidP="008955F9">
      <w:pPr>
        <w:ind w:left="720"/>
        <w:jc w:val="both"/>
        <w:rPr>
          <w:rFonts w:ascii="Verdana" w:hAnsi="Verdana"/>
          <w:sz w:val="22"/>
          <w:szCs w:val="22"/>
        </w:rPr>
      </w:pPr>
      <w:r w:rsidRPr="00025FD1">
        <w:rPr>
          <w:rFonts w:ascii="Verdana" w:hAnsi="Verdana"/>
          <w:sz w:val="22"/>
          <w:szCs w:val="22"/>
        </w:rPr>
        <w:lastRenderedPageBreak/>
        <w:t>Review the document in detail</w:t>
      </w:r>
      <w:r>
        <w:rPr>
          <w:rFonts w:ascii="Verdana" w:hAnsi="Verdana"/>
          <w:sz w:val="22"/>
          <w:szCs w:val="22"/>
        </w:rPr>
        <w:t xml:space="preserve"> </w:t>
      </w:r>
      <w:r w:rsidRPr="00025FD1">
        <w:rPr>
          <w:rFonts w:ascii="Verdana" w:hAnsi="Verdana"/>
          <w:sz w:val="22"/>
          <w:szCs w:val="22"/>
        </w:rPr>
        <w:t xml:space="preserve">by visiting the </w:t>
      </w:r>
      <w:hyperlink r:id="rId12" w:history="1">
        <w:r w:rsidRPr="00025FD1">
          <w:rPr>
            <w:rStyle w:val="Hyperlink"/>
            <w:rFonts w:ascii="Verdana" w:hAnsi="Verdana"/>
            <w:sz w:val="22"/>
            <w:szCs w:val="22"/>
          </w:rPr>
          <w:t>Recommendation Guidance</w:t>
        </w:r>
      </w:hyperlink>
      <w:r w:rsidRPr="00025FD1">
        <w:rPr>
          <w:rFonts w:ascii="Verdana" w:hAnsi="Verdana"/>
          <w:sz w:val="22"/>
          <w:szCs w:val="22"/>
        </w:rPr>
        <w:t xml:space="preserve"> section of the Advisor Resources Center on </w:t>
      </w:r>
      <w:hyperlink r:id="rId13" w:history="1">
        <w:r w:rsidRPr="00025FD1">
          <w:rPr>
            <w:rStyle w:val="Hyperlink"/>
            <w:rFonts w:ascii="Verdana" w:hAnsi="Verdana"/>
            <w:sz w:val="22"/>
            <w:szCs w:val="22"/>
          </w:rPr>
          <w:t>www.pcsbd.net</w:t>
        </w:r>
      </w:hyperlink>
      <w:r w:rsidRPr="00025FD1">
        <w:rPr>
          <w:rFonts w:ascii="Verdana" w:hAnsi="Verdana"/>
          <w:sz w:val="22"/>
          <w:szCs w:val="22"/>
        </w:rPr>
        <w:t>.</w:t>
      </w:r>
      <w:r>
        <w:rPr>
          <w:rFonts w:ascii="Verdana" w:hAnsi="Verdana"/>
          <w:sz w:val="22"/>
          <w:szCs w:val="22"/>
        </w:rPr>
        <w:t xml:space="preserve"> </w:t>
      </w:r>
    </w:p>
    <w:p w14:paraId="1D822E52" w14:textId="23350C3E" w:rsidR="00AE2272" w:rsidRDefault="00AE2272" w:rsidP="00AE2272">
      <w:pPr>
        <w:jc w:val="both"/>
        <w:rPr>
          <w:rFonts w:ascii="Verdana" w:hAnsi="Verdana"/>
          <w:sz w:val="22"/>
          <w:szCs w:val="22"/>
        </w:rPr>
      </w:pPr>
    </w:p>
    <w:p w14:paraId="45237460" w14:textId="77777777" w:rsidR="00430660" w:rsidRDefault="00430660" w:rsidP="00AE2272">
      <w:pPr>
        <w:jc w:val="both"/>
        <w:rPr>
          <w:rFonts w:ascii="Verdana" w:hAnsi="Verdana"/>
          <w:sz w:val="22"/>
          <w:szCs w:val="22"/>
        </w:rPr>
      </w:pPr>
    </w:p>
    <w:p w14:paraId="2637B105" w14:textId="77777777" w:rsidR="00AE2272" w:rsidRPr="000B0D3C" w:rsidRDefault="00AE2272" w:rsidP="00C71CE6">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When does a Retail Customer Receive the Regulation Best Interest Disclosure Document?</w:t>
      </w:r>
    </w:p>
    <w:p w14:paraId="418ECD41" w14:textId="1C435BE6" w:rsidR="00AE2272" w:rsidRDefault="00AE2272" w:rsidP="00AE2272">
      <w:pPr>
        <w:ind w:left="720"/>
        <w:jc w:val="both"/>
        <w:rPr>
          <w:rFonts w:ascii="Verdana" w:hAnsi="Verdana"/>
          <w:sz w:val="22"/>
          <w:szCs w:val="22"/>
        </w:rPr>
      </w:pPr>
      <w:r>
        <w:rPr>
          <w:rFonts w:ascii="Verdana" w:hAnsi="Verdana"/>
          <w:sz w:val="22"/>
          <w:szCs w:val="22"/>
        </w:rPr>
        <w:t xml:space="preserve">The Regulation Best Interest Disclosure Document should be given to each retail customer prior to an account being established or a recommendation being made. </w:t>
      </w:r>
    </w:p>
    <w:p w14:paraId="1E65188C" w14:textId="0FA1181F" w:rsidR="00AE2272" w:rsidRDefault="00AE2272" w:rsidP="00430660">
      <w:pPr>
        <w:jc w:val="both"/>
        <w:rPr>
          <w:rFonts w:ascii="Verdana" w:hAnsi="Verdana"/>
          <w:sz w:val="22"/>
          <w:szCs w:val="22"/>
        </w:rPr>
      </w:pPr>
    </w:p>
    <w:p w14:paraId="322727F7" w14:textId="77777777" w:rsidR="00430660" w:rsidRDefault="00430660" w:rsidP="00430660">
      <w:pPr>
        <w:jc w:val="both"/>
        <w:rPr>
          <w:rFonts w:ascii="Verdana" w:hAnsi="Verdana"/>
          <w:sz w:val="22"/>
          <w:szCs w:val="22"/>
        </w:rPr>
      </w:pPr>
    </w:p>
    <w:p w14:paraId="276B75D9" w14:textId="77777777" w:rsidR="00AE2272" w:rsidRPr="000B0D3C" w:rsidRDefault="00AE2272" w:rsidP="00C71CE6">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Why is the Regulation Best Interest Disclosure Document so long?</w:t>
      </w:r>
    </w:p>
    <w:p w14:paraId="6094C824" w14:textId="77777777" w:rsidR="00AE2272" w:rsidRPr="000032D2" w:rsidRDefault="00AE2272" w:rsidP="00AE2272">
      <w:pPr>
        <w:ind w:left="720"/>
        <w:jc w:val="both"/>
        <w:rPr>
          <w:rFonts w:ascii="Verdana" w:hAnsi="Verdana"/>
          <w:sz w:val="22"/>
          <w:szCs w:val="22"/>
        </w:rPr>
      </w:pPr>
      <w:r>
        <w:rPr>
          <w:rFonts w:ascii="Verdana" w:hAnsi="Verdana"/>
          <w:sz w:val="22"/>
          <w:szCs w:val="22"/>
        </w:rPr>
        <w:t xml:space="preserve">There is a lot of information for a retail customer to consider prior to opening a new account or creating a new brokerage account strategy. The document provides a customer with important background to assist him or her in discussions on a suitable brokerage or advisory account strategy. </w:t>
      </w:r>
    </w:p>
    <w:p w14:paraId="46CF03C4" w14:textId="77777777" w:rsidR="00AE2272" w:rsidRDefault="00AE2272" w:rsidP="00AE2272">
      <w:pPr>
        <w:jc w:val="both"/>
        <w:rPr>
          <w:rFonts w:ascii="Verdana" w:hAnsi="Verdana"/>
          <w:sz w:val="22"/>
          <w:szCs w:val="22"/>
        </w:rPr>
      </w:pPr>
    </w:p>
    <w:p w14:paraId="0ED04541" w14:textId="77777777" w:rsidR="00AE2272" w:rsidRPr="00025FD1" w:rsidRDefault="00AE2272" w:rsidP="00C71CE6">
      <w:pPr>
        <w:pStyle w:val="ListParagraph"/>
        <w:numPr>
          <w:ilvl w:val="0"/>
          <w:numId w:val="4"/>
        </w:numPr>
        <w:jc w:val="both"/>
        <w:rPr>
          <w:rFonts w:ascii="Verdana" w:hAnsi="Verdana"/>
          <w:b/>
          <w:bCs/>
          <w:color w:val="365F91" w:themeColor="accent1" w:themeShade="BF"/>
        </w:rPr>
      </w:pPr>
      <w:r w:rsidRPr="00025FD1">
        <w:rPr>
          <w:rFonts w:ascii="Verdana" w:hAnsi="Verdana"/>
          <w:b/>
          <w:bCs/>
          <w:color w:val="365F91" w:themeColor="accent1" w:themeShade="BF"/>
        </w:rPr>
        <w:t>Is the Regulation Best Interest Disclosure document delivered with Form CRS using the Tracker BI in Docupace?</w:t>
      </w:r>
    </w:p>
    <w:p w14:paraId="66FD9A4A" w14:textId="77777777" w:rsidR="00AE2272" w:rsidRPr="00025FD1" w:rsidRDefault="00AE2272" w:rsidP="00AE2272">
      <w:pPr>
        <w:ind w:left="810"/>
        <w:jc w:val="both"/>
        <w:rPr>
          <w:rFonts w:ascii="Verdana" w:hAnsi="Verdana"/>
          <w:sz w:val="22"/>
          <w:szCs w:val="22"/>
        </w:rPr>
      </w:pPr>
      <w:r w:rsidRPr="00025FD1">
        <w:rPr>
          <w:rFonts w:ascii="Verdana" w:hAnsi="Verdana"/>
          <w:sz w:val="22"/>
          <w:szCs w:val="22"/>
        </w:rPr>
        <w:t>No, it is not within the current scope of work to deliver the Reg BI Disclosure Document this way. The Regulation Best Interest Disclosure document will be included as an optional document in Docupace to be included with e-sign or printed paperwork packets.</w:t>
      </w:r>
    </w:p>
    <w:p w14:paraId="2A14F442" w14:textId="77777777" w:rsidR="00AE2272" w:rsidRPr="00025FD1" w:rsidRDefault="00AE2272" w:rsidP="00AE2272">
      <w:pPr>
        <w:ind w:left="810"/>
        <w:jc w:val="both"/>
        <w:rPr>
          <w:rFonts w:ascii="Verdana" w:hAnsi="Verdana"/>
          <w:sz w:val="22"/>
          <w:szCs w:val="22"/>
        </w:rPr>
      </w:pPr>
    </w:p>
    <w:p w14:paraId="00EB469F" w14:textId="23C49197" w:rsidR="00AE2272" w:rsidRDefault="00AE2272" w:rsidP="00AE2272">
      <w:pPr>
        <w:ind w:left="810"/>
        <w:jc w:val="both"/>
        <w:rPr>
          <w:rFonts w:ascii="Verdana" w:hAnsi="Verdana"/>
          <w:sz w:val="22"/>
          <w:szCs w:val="22"/>
        </w:rPr>
      </w:pPr>
      <w:r w:rsidRPr="00025FD1">
        <w:rPr>
          <w:rFonts w:ascii="Verdana" w:hAnsi="Verdana"/>
          <w:sz w:val="22"/>
          <w:szCs w:val="22"/>
        </w:rPr>
        <w:t>Outside of Docupace, the Regulation Best Interest Disclosure document can be either manually delivered or delivered as “access equals delivery” since it is on the Customer Account Form via link and client acknowledgement.</w:t>
      </w:r>
    </w:p>
    <w:p w14:paraId="47121437" w14:textId="77777777" w:rsidR="00AC5648" w:rsidRDefault="00AC5648" w:rsidP="00AE2272">
      <w:pPr>
        <w:ind w:left="810"/>
        <w:jc w:val="both"/>
        <w:rPr>
          <w:rFonts w:ascii="Verdana" w:hAnsi="Verdana"/>
          <w:sz w:val="22"/>
          <w:szCs w:val="22"/>
        </w:rPr>
      </w:pPr>
    </w:p>
    <w:p w14:paraId="7A1ACEAF" w14:textId="0E81E78A" w:rsidR="00AE2272" w:rsidRDefault="00AE2272" w:rsidP="00B60597">
      <w:pPr>
        <w:jc w:val="both"/>
        <w:rPr>
          <w:rFonts w:ascii="Verdana" w:hAnsi="Verdana"/>
          <w:sz w:val="22"/>
          <w:szCs w:val="22"/>
        </w:rPr>
      </w:pPr>
    </w:p>
    <w:p w14:paraId="289C54B4" w14:textId="3B43C953" w:rsidR="00F319D7" w:rsidRPr="00F319D7" w:rsidRDefault="00F319D7" w:rsidP="00B60597">
      <w:pPr>
        <w:jc w:val="both"/>
        <w:rPr>
          <w:rFonts w:ascii="Verdana" w:hAnsi="Verdana"/>
          <w:b/>
          <w:bCs/>
          <w:sz w:val="22"/>
          <w:szCs w:val="22"/>
          <w:u w:val="single"/>
        </w:rPr>
      </w:pPr>
      <w:r w:rsidRPr="00F319D7">
        <w:rPr>
          <w:rFonts w:ascii="Verdana" w:hAnsi="Verdana"/>
          <w:b/>
          <w:bCs/>
          <w:sz w:val="22"/>
          <w:szCs w:val="22"/>
          <w:u w:val="single"/>
        </w:rPr>
        <w:t>Reg BI CARE</w:t>
      </w:r>
      <w:r>
        <w:rPr>
          <w:rFonts w:ascii="Verdana" w:hAnsi="Verdana"/>
          <w:b/>
          <w:bCs/>
          <w:sz w:val="22"/>
          <w:szCs w:val="22"/>
          <w:u w:val="single"/>
        </w:rPr>
        <w:t xml:space="preserve"> </w:t>
      </w:r>
      <w:r w:rsidR="00131AF7">
        <w:rPr>
          <w:rFonts w:ascii="Verdana" w:hAnsi="Verdana"/>
          <w:b/>
          <w:bCs/>
          <w:sz w:val="22"/>
          <w:szCs w:val="22"/>
          <w:u w:val="single"/>
        </w:rPr>
        <w:t xml:space="preserve">and </w:t>
      </w:r>
      <w:r>
        <w:rPr>
          <w:rFonts w:ascii="Verdana" w:hAnsi="Verdana"/>
          <w:b/>
          <w:bCs/>
          <w:sz w:val="22"/>
          <w:szCs w:val="22"/>
          <w:u w:val="single"/>
        </w:rPr>
        <w:t xml:space="preserve"> Conflict of Interest</w:t>
      </w:r>
      <w:r w:rsidR="00131AF7">
        <w:rPr>
          <w:rFonts w:ascii="Verdana" w:hAnsi="Verdana"/>
          <w:b/>
          <w:bCs/>
          <w:sz w:val="22"/>
          <w:szCs w:val="22"/>
          <w:u w:val="single"/>
        </w:rPr>
        <w:t xml:space="preserve"> Obligations</w:t>
      </w:r>
      <w:r>
        <w:rPr>
          <w:rFonts w:ascii="Verdana" w:hAnsi="Verdana"/>
          <w:b/>
          <w:bCs/>
          <w:sz w:val="22"/>
          <w:szCs w:val="22"/>
          <w:u w:val="single"/>
        </w:rPr>
        <w:t xml:space="preserve">  </w:t>
      </w:r>
    </w:p>
    <w:p w14:paraId="15120CF9" w14:textId="23A8AC96" w:rsidR="005F5027" w:rsidRPr="004C6595" w:rsidRDefault="005F5027" w:rsidP="00AE2272">
      <w:pPr>
        <w:jc w:val="both"/>
        <w:rPr>
          <w:rFonts w:ascii="Verdana" w:hAnsi="Verdana"/>
          <w:sz w:val="22"/>
          <w:szCs w:val="22"/>
        </w:rPr>
      </w:pPr>
    </w:p>
    <w:p w14:paraId="5790B494" w14:textId="72B7C360" w:rsidR="00AB187C" w:rsidRPr="000B0D3C" w:rsidRDefault="00AB187C" w:rsidP="004A6550">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What is the C</w:t>
      </w:r>
      <w:r w:rsidR="00C625FC" w:rsidRPr="000B0D3C">
        <w:rPr>
          <w:rFonts w:ascii="Verdana" w:hAnsi="Verdana"/>
          <w:b/>
          <w:bCs/>
          <w:color w:val="365F91" w:themeColor="accent1" w:themeShade="BF"/>
        </w:rPr>
        <w:t>ARE</w:t>
      </w:r>
      <w:r w:rsidRPr="000B0D3C">
        <w:rPr>
          <w:rFonts w:ascii="Verdana" w:hAnsi="Verdana"/>
          <w:b/>
          <w:bCs/>
          <w:color w:val="365F91" w:themeColor="accent1" w:themeShade="BF"/>
        </w:rPr>
        <w:t xml:space="preserve"> Obligation under Regulation Best Interest?</w:t>
      </w:r>
    </w:p>
    <w:p w14:paraId="4352B904" w14:textId="0EF634ED" w:rsidR="00AB187C" w:rsidRDefault="00AB187C" w:rsidP="000B0D3C">
      <w:pPr>
        <w:ind w:left="720"/>
        <w:jc w:val="both"/>
        <w:rPr>
          <w:rFonts w:ascii="Verdana" w:hAnsi="Verdana"/>
          <w:sz w:val="22"/>
          <w:szCs w:val="22"/>
        </w:rPr>
      </w:pPr>
      <w:r>
        <w:rPr>
          <w:rFonts w:ascii="Verdana" w:hAnsi="Verdana"/>
          <w:sz w:val="22"/>
          <w:szCs w:val="22"/>
        </w:rPr>
        <w:t>The C</w:t>
      </w:r>
      <w:r w:rsidR="00C625FC">
        <w:rPr>
          <w:rFonts w:ascii="Verdana" w:hAnsi="Verdana"/>
          <w:sz w:val="22"/>
          <w:szCs w:val="22"/>
        </w:rPr>
        <w:t>ARE</w:t>
      </w:r>
      <w:r>
        <w:rPr>
          <w:rFonts w:ascii="Verdana" w:hAnsi="Verdana"/>
          <w:sz w:val="22"/>
          <w:szCs w:val="22"/>
        </w:rPr>
        <w:t xml:space="preserve"> obligation requires exercise of reasonable diligence, care, skill</w:t>
      </w:r>
      <w:r w:rsidR="00CB4313">
        <w:rPr>
          <w:rFonts w:ascii="Verdana" w:hAnsi="Verdana"/>
          <w:sz w:val="22"/>
          <w:szCs w:val="22"/>
        </w:rPr>
        <w:t>,</w:t>
      </w:r>
      <w:r>
        <w:rPr>
          <w:rFonts w:ascii="Verdana" w:hAnsi="Verdana"/>
          <w:sz w:val="22"/>
          <w:szCs w:val="22"/>
        </w:rPr>
        <w:t xml:space="preserve"> and prudence in making customer recommendations. </w:t>
      </w:r>
      <w:r w:rsidR="00CB4313">
        <w:rPr>
          <w:rFonts w:ascii="Verdana" w:hAnsi="Verdana"/>
          <w:sz w:val="22"/>
          <w:szCs w:val="22"/>
        </w:rPr>
        <w:t>The potential risks, rewards, and costs associated with the recommendation must be acknowledged and understood.</w:t>
      </w:r>
    </w:p>
    <w:p w14:paraId="114ED7DA" w14:textId="77777777" w:rsidR="002D02EA" w:rsidRDefault="002D02EA" w:rsidP="00B60597">
      <w:pPr>
        <w:jc w:val="both"/>
        <w:rPr>
          <w:rFonts w:ascii="Verdana" w:hAnsi="Verdana"/>
          <w:b/>
          <w:bCs/>
          <w:color w:val="1F497D" w:themeColor="text2"/>
        </w:rPr>
      </w:pPr>
    </w:p>
    <w:p w14:paraId="76DB263F" w14:textId="371FD8B7" w:rsidR="00CB4313" w:rsidRPr="000B0D3C" w:rsidRDefault="00CB4313" w:rsidP="004A6550">
      <w:pPr>
        <w:pStyle w:val="ListParagraph"/>
        <w:numPr>
          <w:ilvl w:val="0"/>
          <w:numId w:val="4"/>
        </w:numPr>
        <w:jc w:val="both"/>
        <w:rPr>
          <w:rFonts w:ascii="Verdana" w:hAnsi="Verdana"/>
          <w:b/>
          <w:bCs/>
          <w:color w:val="1F497D" w:themeColor="text2"/>
        </w:rPr>
      </w:pPr>
      <w:r w:rsidRPr="000B0D3C">
        <w:rPr>
          <w:rFonts w:ascii="Verdana" w:hAnsi="Verdana"/>
          <w:b/>
          <w:bCs/>
          <w:color w:val="1F497D" w:themeColor="text2"/>
        </w:rPr>
        <w:t>How is PCS Addressing the C</w:t>
      </w:r>
      <w:r w:rsidR="00C625FC" w:rsidRPr="000B0D3C">
        <w:rPr>
          <w:rFonts w:ascii="Verdana" w:hAnsi="Verdana"/>
          <w:b/>
          <w:bCs/>
          <w:color w:val="1F497D" w:themeColor="text2"/>
        </w:rPr>
        <w:t>ARE</w:t>
      </w:r>
      <w:r w:rsidRPr="000B0D3C">
        <w:rPr>
          <w:rFonts w:ascii="Verdana" w:hAnsi="Verdana"/>
          <w:b/>
          <w:bCs/>
          <w:color w:val="1F497D" w:themeColor="text2"/>
        </w:rPr>
        <w:t xml:space="preserve"> Obligation?</w:t>
      </w:r>
    </w:p>
    <w:p w14:paraId="4B65C423" w14:textId="3B062B5F" w:rsidR="00CB4313" w:rsidRDefault="00CB4313" w:rsidP="000B0D3C">
      <w:pPr>
        <w:ind w:left="720"/>
        <w:jc w:val="both"/>
        <w:rPr>
          <w:rFonts w:ascii="Verdana" w:hAnsi="Verdana"/>
          <w:sz w:val="22"/>
          <w:szCs w:val="22"/>
        </w:rPr>
      </w:pPr>
      <w:r>
        <w:rPr>
          <w:rFonts w:ascii="Verdana" w:hAnsi="Verdana"/>
          <w:sz w:val="22"/>
          <w:szCs w:val="22"/>
        </w:rPr>
        <w:t>Because the C</w:t>
      </w:r>
      <w:r w:rsidR="00C625FC">
        <w:rPr>
          <w:rFonts w:ascii="Verdana" w:hAnsi="Verdana"/>
          <w:sz w:val="22"/>
          <w:szCs w:val="22"/>
        </w:rPr>
        <w:t>ARE</w:t>
      </w:r>
      <w:r>
        <w:rPr>
          <w:rFonts w:ascii="Verdana" w:hAnsi="Verdana"/>
          <w:sz w:val="22"/>
          <w:szCs w:val="22"/>
        </w:rPr>
        <w:t xml:space="preserve"> obligation requires investment professionals to consider multiple factors before making a recommendation to a retail customer, PCS created </w:t>
      </w:r>
      <w:r w:rsidR="00D7649E">
        <w:rPr>
          <w:rFonts w:ascii="Verdana" w:hAnsi="Verdana"/>
          <w:sz w:val="22"/>
          <w:szCs w:val="22"/>
        </w:rPr>
        <w:t>proce</w:t>
      </w:r>
      <w:r w:rsidR="00C625FC">
        <w:rPr>
          <w:rFonts w:ascii="Verdana" w:hAnsi="Verdana"/>
          <w:sz w:val="22"/>
          <w:szCs w:val="22"/>
        </w:rPr>
        <w:t>s</w:t>
      </w:r>
      <w:r w:rsidR="00D7649E">
        <w:rPr>
          <w:rFonts w:ascii="Verdana" w:hAnsi="Verdana"/>
          <w:sz w:val="22"/>
          <w:szCs w:val="22"/>
        </w:rPr>
        <w:t>s</w:t>
      </w:r>
      <w:r w:rsidR="00C625FC">
        <w:rPr>
          <w:rFonts w:ascii="Verdana" w:hAnsi="Verdana"/>
          <w:sz w:val="22"/>
          <w:szCs w:val="22"/>
        </w:rPr>
        <w:t>es</w:t>
      </w:r>
      <w:r w:rsidR="00D7649E">
        <w:rPr>
          <w:rFonts w:ascii="Verdana" w:hAnsi="Verdana"/>
          <w:sz w:val="22"/>
          <w:szCs w:val="22"/>
        </w:rPr>
        <w:t xml:space="preserve"> designed to assist investment professionals comply with the CARE obligation.  See the PCS Compliance Manual </w:t>
      </w:r>
      <w:r w:rsidR="00C625FC">
        <w:rPr>
          <w:rFonts w:ascii="Verdana" w:hAnsi="Verdana"/>
          <w:sz w:val="22"/>
          <w:szCs w:val="22"/>
        </w:rPr>
        <w:t xml:space="preserve">and/or </w:t>
      </w:r>
      <w:r w:rsidR="00C625FC" w:rsidRPr="007010DA">
        <w:rPr>
          <w:rFonts w:ascii="Verdana" w:hAnsi="Verdana" w:cs="Helvetica"/>
          <w:i/>
          <w:iCs/>
          <w:sz w:val="22"/>
          <w:szCs w:val="22"/>
          <w:shd w:val="clear" w:color="auto" w:fill="FFFFFF"/>
        </w:rPr>
        <w:t>Regulation Best Interest Recommendation Processes</w:t>
      </w:r>
      <w:r w:rsidR="00C625FC">
        <w:rPr>
          <w:rFonts w:ascii="Verdana" w:hAnsi="Verdana"/>
          <w:sz w:val="22"/>
          <w:szCs w:val="22"/>
        </w:rPr>
        <w:t xml:space="preserve"> </w:t>
      </w:r>
      <w:r w:rsidR="00D7649E">
        <w:rPr>
          <w:rFonts w:ascii="Verdana" w:hAnsi="Verdana"/>
          <w:sz w:val="22"/>
          <w:szCs w:val="22"/>
        </w:rPr>
        <w:t>for details related to these new proces</w:t>
      </w:r>
      <w:r w:rsidR="00C625FC">
        <w:rPr>
          <w:rFonts w:ascii="Verdana" w:hAnsi="Verdana"/>
          <w:sz w:val="22"/>
          <w:szCs w:val="22"/>
        </w:rPr>
        <w:t>ses</w:t>
      </w:r>
      <w:r>
        <w:rPr>
          <w:rFonts w:ascii="Verdana" w:hAnsi="Verdana"/>
          <w:sz w:val="22"/>
          <w:szCs w:val="22"/>
        </w:rPr>
        <w:t>.</w:t>
      </w:r>
      <w:r w:rsidR="00D7649E">
        <w:rPr>
          <w:rFonts w:ascii="Verdana" w:hAnsi="Verdana"/>
          <w:sz w:val="22"/>
          <w:szCs w:val="22"/>
        </w:rPr>
        <w:t xml:space="preserve">  PCS has also developed a new tool to document the process of determining a recommendation using the CARE obligation called the </w:t>
      </w:r>
      <w:r w:rsidR="00D7649E" w:rsidRPr="0049794D">
        <w:rPr>
          <w:rFonts w:ascii="Verdana" w:hAnsi="Verdana"/>
          <w:b/>
          <w:bCs/>
          <w:sz w:val="22"/>
          <w:szCs w:val="22"/>
        </w:rPr>
        <w:t>Recommendation</w:t>
      </w:r>
      <w:r w:rsidR="004D44F7" w:rsidRPr="0049794D">
        <w:rPr>
          <w:rFonts w:ascii="Verdana" w:hAnsi="Verdana"/>
          <w:b/>
          <w:bCs/>
          <w:sz w:val="22"/>
          <w:szCs w:val="22"/>
        </w:rPr>
        <w:t xml:space="preserve"> Documentation</w:t>
      </w:r>
      <w:r w:rsidR="00D7649E" w:rsidRPr="0049794D">
        <w:rPr>
          <w:rFonts w:ascii="Verdana" w:hAnsi="Verdana"/>
          <w:b/>
          <w:bCs/>
          <w:sz w:val="22"/>
          <w:szCs w:val="22"/>
        </w:rPr>
        <w:t xml:space="preserve"> Supplement.</w:t>
      </w:r>
    </w:p>
    <w:p w14:paraId="2EC62D71" w14:textId="77777777" w:rsidR="00CB4313" w:rsidRDefault="00CB4313" w:rsidP="000B0D3C">
      <w:pPr>
        <w:ind w:left="720"/>
        <w:jc w:val="both"/>
        <w:rPr>
          <w:rFonts w:ascii="Verdana" w:hAnsi="Verdana"/>
          <w:sz w:val="22"/>
          <w:szCs w:val="22"/>
        </w:rPr>
      </w:pPr>
    </w:p>
    <w:p w14:paraId="2432675C" w14:textId="4374A423" w:rsidR="00CB4313" w:rsidRPr="00AB187C" w:rsidRDefault="00CB4313" w:rsidP="000B0D3C">
      <w:pPr>
        <w:ind w:left="720"/>
        <w:jc w:val="both"/>
        <w:rPr>
          <w:rFonts w:ascii="Verdana" w:hAnsi="Verdana"/>
          <w:sz w:val="22"/>
          <w:szCs w:val="22"/>
        </w:rPr>
      </w:pPr>
      <w:r>
        <w:rPr>
          <w:rFonts w:ascii="Verdana" w:hAnsi="Verdana"/>
          <w:sz w:val="22"/>
          <w:szCs w:val="22"/>
        </w:rPr>
        <w:t>The Recommendation</w:t>
      </w:r>
      <w:r w:rsidR="004D44F7">
        <w:rPr>
          <w:rFonts w:ascii="Verdana" w:hAnsi="Verdana"/>
          <w:sz w:val="22"/>
          <w:szCs w:val="22"/>
        </w:rPr>
        <w:t xml:space="preserve"> Documentation</w:t>
      </w:r>
      <w:r>
        <w:rPr>
          <w:rFonts w:ascii="Verdana" w:hAnsi="Verdana"/>
          <w:sz w:val="22"/>
          <w:szCs w:val="22"/>
        </w:rPr>
        <w:t xml:space="preserve"> Supplement is a simple and direct way for </w:t>
      </w:r>
      <w:r w:rsidR="002D02EA">
        <w:rPr>
          <w:rFonts w:ascii="Verdana" w:hAnsi="Verdana"/>
          <w:sz w:val="22"/>
          <w:szCs w:val="22"/>
        </w:rPr>
        <w:t>o</w:t>
      </w:r>
      <w:r>
        <w:rPr>
          <w:rFonts w:ascii="Verdana" w:hAnsi="Verdana"/>
          <w:sz w:val="22"/>
          <w:szCs w:val="22"/>
        </w:rPr>
        <w:t>ur affiliated financial professionals to document the applica</w:t>
      </w:r>
      <w:r w:rsidR="00AF02A1">
        <w:rPr>
          <w:rFonts w:ascii="Verdana" w:hAnsi="Verdana"/>
          <w:sz w:val="22"/>
          <w:szCs w:val="22"/>
        </w:rPr>
        <w:t>ble</w:t>
      </w:r>
      <w:r>
        <w:rPr>
          <w:rFonts w:ascii="Verdana" w:hAnsi="Verdana"/>
          <w:sz w:val="22"/>
          <w:szCs w:val="22"/>
        </w:rPr>
        <w:t xml:space="preserve"> information utilized when </w:t>
      </w:r>
      <w:r>
        <w:rPr>
          <w:rFonts w:ascii="Verdana" w:hAnsi="Verdana"/>
          <w:sz w:val="22"/>
          <w:szCs w:val="22"/>
        </w:rPr>
        <w:lastRenderedPageBreak/>
        <w:t xml:space="preserve">determining </w:t>
      </w:r>
      <w:r w:rsidR="00D7649E">
        <w:rPr>
          <w:rFonts w:ascii="Verdana" w:hAnsi="Verdana"/>
          <w:sz w:val="22"/>
          <w:szCs w:val="22"/>
        </w:rPr>
        <w:t>both</w:t>
      </w:r>
      <w:r>
        <w:rPr>
          <w:rFonts w:ascii="Verdana" w:hAnsi="Verdana"/>
          <w:sz w:val="22"/>
          <w:szCs w:val="22"/>
        </w:rPr>
        <w:t xml:space="preserve"> account type </w:t>
      </w:r>
      <w:r w:rsidR="00D7649E">
        <w:rPr>
          <w:rFonts w:ascii="Verdana" w:hAnsi="Verdana"/>
          <w:sz w:val="22"/>
          <w:szCs w:val="22"/>
        </w:rPr>
        <w:t xml:space="preserve">and investment </w:t>
      </w:r>
      <w:r>
        <w:rPr>
          <w:rFonts w:ascii="Verdana" w:hAnsi="Verdana"/>
          <w:sz w:val="22"/>
          <w:szCs w:val="22"/>
        </w:rPr>
        <w:t xml:space="preserve">recommendations for a client. </w:t>
      </w:r>
      <w:r w:rsidR="0049794D">
        <w:rPr>
          <w:rFonts w:ascii="Verdana" w:hAnsi="Verdana"/>
          <w:sz w:val="22"/>
          <w:szCs w:val="22"/>
        </w:rPr>
        <w:t>See additional information below.</w:t>
      </w:r>
    </w:p>
    <w:p w14:paraId="20749D6F" w14:textId="77777777" w:rsidR="00D7649E" w:rsidRDefault="00D7649E" w:rsidP="00B60597">
      <w:pPr>
        <w:jc w:val="both"/>
        <w:rPr>
          <w:rFonts w:ascii="Verdana" w:hAnsi="Verdana"/>
          <w:b/>
          <w:bCs/>
          <w:color w:val="1F497D" w:themeColor="text2"/>
        </w:rPr>
      </w:pPr>
    </w:p>
    <w:p w14:paraId="30352AF9" w14:textId="77777777" w:rsidR="006358F0" w:rsidRDefault="006358F0" w:rsidP="00B60597">
      <w:pPr>
        <w:jc w:val="both"/>
        <w:rPr>
          <w:rFonts w:ascii="Verdana" w:hAnsi="Verdana"/>
          <w:b/>
          <w:bCs/>
          <w:color w:val="1F497D" w:themeColor="text2"/>
        </w:rPr>
      </w:pPr>
    </w:p>
    <w:p w14:paraId="6CC25A9F" w14:textId="02BE5E97" w:rsidR="00ED7323" w:rsidRPr="000B0D3C" w:rsidRDefault="00ED7323" w:rsidP="004A6550">
      <w:pPr>
        <w:pStyle w:val="ListParagraph"/>
        <w:numPr>
          <w:ilvl w:val="0"/>
          <w:numId w:val="4"/>
        </w:numPr>
        <w:jc w:val="both"/>
        <w:rPr>
          <w:rFonts w:ascii="Verdana" w:hAnsi="Verdana"/>
          <w:b/>
          <w:bCs/>
          <w:color w:val="1F497D" w:themeColor="text2"/>
        </w:rPr>
      </w:pPr>
      <w:r w:rsidRPr="000B0D3C">
        <w:rPr>
          <w:rFonts w:ascii="Verdana" w:hAnsi="Verdana"/>
          <w:b/>
          <w:bCs/>
          <w:color w:val="1F497D" w:themeColor="text2"/>
        </w:rPr>
        <w:t>How is the Reg BI C</w:t>
      </w:r>
      <w:r w:rsidR="00C625FC" w:rsidRPr="000B0D3C">
        <w:rPr>
          <w:rFonts w:ascii="Verdana" w:hAnsi="Verdana"/>
          <w:b/>
          <w:bCs/>
          <w:color w:val="1F497D" w:themeColor="text2"/>
        </w:rPr>
        <w:t>ARE</w:t>
      </w:r>
      <w:r w:rsidRPr="000B0D3C">
        <w:rPr>
          <w:rFonts w:ascii="Verdana" w:hAnsi="Verdana"/>
          <w:b/>
          <w:bCs/>
          <w:color w:val="1F497D" w:themeColor="text2"/>
        </w:rPr>
        <w:t xml:space="preserve"> Obligation different from the suitability rules we have been complying with under FINRA Rule 2111?</w:t>
      </w:r>
    </w:p>
    <w:p w14:paraId="05FE0B02" w14:textId="1809501A" w:rsidR="00ED7323" w:rsidRDefault="00ED7323" w:rsidP="00FA58F4">
      <w:pPr>
        <w:ind w:left="720"/>
        <w:jc w:val="both"/>
        <w:rPr>
          <w:rFonts w:ascii="Verdana" w:hAnsi="Verdana"/>
          <w:sz w:val="22"/>
          <w:szCs w:val="22"/>
        </w:rPr>
      </w:pPr>
      <w:r w:rsidRPr="00ED7323">
        <w:rPr>
          <w:rFonts w:ascii="Verdana" w:hAnsi="Verdana"/>
          <w:sz w:val="22"/>
          <w:szCs w:val="22"/>
        </w:rPr>
        <w:t>Regula</w:t>
      </w:r>
      <w:r>
        <w:rPr>
          <w:rFonts w:ascii="Verdana" w:hAnsi="Verdana"/>
          <w:sz w:val="22"/>
          <w:szCs w:val="22"/>
        </w:rPr>
        <w:t xml:space="preserve">tion Best Interest expands and enhances the suitability requirements found in FINRA Rule 2111. </w:t>
      </w:r>
      <w:r w:rsidR="00181A6D">
        <w:rPr>
          <w:rFonts w:ascii="Verdana" w:hAnsi="Verdana"/>
          <w:sz w:val="22"/>
          <w:szCs w:val="22"/>
        </w:rPr>
        <w:t>Under the existing FINRA Rule, broker dealers have been required, in making any recommendation to a customer, to “have a reasonable basis to believe” that the recommendation is “suitable” for the client based on information obtained through reasonable diligence to ascertain the customer’s investment profile.</w:t>
      </w:r>
    </w:p>
    <w:p w14:paraId="3852C46C" w14:textId="5A4627F1" w:rsidR="00181A6D" w:rsidRDefault="00181A6D" w:rsidP="00FA58F4">
      <w:pPr>
        <w:ind w:left="720"/>
        <w:jc w:val="both"/>
        <w:rPr>
          <w:rFonts w:ascii="Verdana" w:hAnsi="Verdana"/>
          <w:sz w:val="22"/>
          <w:szCs w:val="22"/>
        </w:rPr>
      </w:pPr>
    </w:p>
    <w:p w14:paraId="5077380B" w14:textId="6BE695B5" w:rsidR="00181A6D" w:rsidRDefault="00181A6D" w:rsidP="00FA58F4">
      <w:pPr>
        <w:ind w:left="720"/>
        <w:jc w:val="both"/>
        <w:rPr>
          <w:rFonts w:ascii="Verdana" w:hAnsi="Verdana"/>
          <w:sz w:val="22"/>
          <w:szCs w:val="22"/>
        </w:rPr>
      </w:pPr>
      <w:r>
        <w:rPr>
          <w:rFonts w:ascii="Verdana" w:hAnsi="Verdana"/>
          <w:sz w:val="22"/>
          <w:szCs w:val="22"/>
        </w:rPr>
        <w:t xml:space="preserve">In comparison, Regulation Best Interest now requires, as its core obligation, that any securities recommendation made to a retail customer be done through exercising “reasonable diligence, care, and skill to have a reasonable basis to believe that the recommendation is in the best interest of a particular retail customer based on that retail customer’s investment profile.” Additionally, the potential risks, rewards, and costs associated with the recommendation cannot place the financial or other interest of the broker dealer and investment professional ahead of the interest of the customer.   </w:t>
      </w:r>
    </w:p>
    <w:p w14:paraId="080A356C" w14:textId="0AB01CAC" w:rsidR="00181A6D" w:rsidRDefault="00181A6D" w:rsidP="00FA58F4">
      <w:pPr>
        <w:ind w:left="720"/>
        <w:jc w:val="both"/>
        <w:rPr>
          <w:rFonts w:ascii="Verdana" w:hAnsi="Verdana"/>
          <w:sz w:val="22"/>
          <w:szCs w:val="22"/>
        </w:rPr>
      </w:pPr>
    </w:p>
    <w:p w14:paraId="21489AF3" w14:textId="36CDE26A" w:rsidR="00181A6D" w:rsidRDefault="00181A6D" w:rsidP="00FA58F4">
      <w:pPr>
        <w:ind w:left="720"/>
        <w:jc w:val="both"/>
        <w:rPr>
          <w:rFonts w:ascii="Verdana" w:hAnsi="Verdana"/>
          <w:sz w:val="22"/>
          <w:szCs w:val="22"/>
        </w:rPr>
      </w:pPr>
      <w:r>
        <w:rPr>
          <w:rFonts w:ascii="Verdana" w:hAnsi="Verdana"/>
          <w:sz w:val="22"/>
          <w:szCs w:val="22"/>
        </w:rPr>
        <w:t>It is important to note, too, that Reg BI only applies to natural persons. FINRA’s suitability rules apply to entities and institutions.</w:t>
      </w:r>
    </w:p>
    <w:p w14:paraId="1373CF62" w14:textId="77777777" w:rsidR="00907091" w:rsidRDefault="00907091" w:rsidP="00B60597">
      <w:pPr>
        <w:jc w:val="both"/>
        <w:rPr>
          <w:rFonts w:ascii="Verdana" w:hAnsi="Verdana"/>
          <w:sz w:val="22"/>
          <w:szCs w:val="22"/>
        </w:rPr>
      </w:pPr>
    </w:p>
    <w:p w14:paraId="4A145789" w14:textId="77777777" w:rsidR="00907091" w:rsidRPr="00ED7323" w:rsidRDefault="00907091" w:rsidP="00B60597">
      <w:pPr>
        <w:jc w:val="both"/>
        <w:rPr>
          <w:rFonts w:ascii="Verdana" w:hAnsi="Verdana"/>
          <w:color w:val="365F91" w:themeColor="accent1" w:themeShade="BF"/>
          <w:sz w:val="22"/>
          <w:szCs w:val="22"/>
        </w:rPr>
      </w:pPr>
    </w:p>
    <w:p w14:paraId="1CB5950E" w14:textId="18263465" w:rsidR="00C625FC" w:rsidRDefault="00907091" w:rsidP="00907091">
      <w:pPr>
        <w:ind w:firstLine="1080"/>
        <w:jc w:val="both"/>
        <w:rPr>
          <w:rFonts w:ascii="Verdana" w:hAnsi="Verdana"/>
          <w:b/>
          <w:bCs/>
          <w:color w:val="365F91" w:themeColor="accent1" w:themeShade="BF"/>
        </w:rPr>
      </w:pPr>
      <w:r>
        <w:rPr>
          <w:rFonts w:ascii="Verdana" w:hAnsi="Verdana"/>
          <w:b/>
          <w:bCs/>
          <w:noProof/>
          <w:color w:val="365F91" w:themeColor="accent1" w:themeShade="BF"/>
        </w:rPr>
        <w:drawing>
          <wp:inline distT="0" distB="0" distL="0" distR="0" wp14:anchorId="0CB4D140" wp14:editId="0FCC2D77">
            <wp:extent cx="4925060" cy="39535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5060" cy="3953510"/>
                    </a:xfrm>
                    <a:prstGeom prst="rect">
                      <a:avLst/>
                    </a:prstGeom>
                    <a:noFill/>
                  </pic:spPr>
                </pic:pic>
              </a:graphicData>
            </a:graphic>
          </wp:inline>
        </w:drawing>
      </w:r>
    </w:p>
    <w:p w14:paraId="482F2F61" w14:textId="77777777" w:rsidR="00131AF7" w:rsidRDefault="00131AF7" w:rsidP="00B60597">
      <w:pPr>
        <w:jc w:val="both"/>
        <w:rPr>
          <w:rFonts w:ascii="Verdana" w:hAnsi="Verdana"/>
          <w:b/>
          <w:bCs/>
          <w:color w:val="365F91" w:themeColor="accent1" w:themeShade="BF"/>
        </w:rPr>
      </w:pPr>
    </w:p>
    <w:p w14:paraId="18F62A9F" w14:textId="77777777" w:rsidR="00907091" w:rsidRDefault="00907091" w:rsidP="00FA58F4">
      <w:pPr>
        <w:ind w:hanging="180"/>
        <w:jc w:val="both"/>
        <w:rPr>
          <w:rFonts w:ascii="Verdana" w:hAnsi="Verdana"/>
          <w:b/>
          <w:bCs/>
          <w:color w:val="365F91" w:themeColor="accent1" w:themeShade="BF"/>
        </w:rPr>
      </w:pPr>
    </w:p>
    <w:p w14:paraId="493447FC" w14:textId="6BAAF7ED" w:rsidR="008112B2" w:rsidRPr="00FA58F4" w:rsidRDefault="008112B2" w:rsidP="004A6550">
      <w:pPr>
        <w:pStyle w:val="ListParagraph"/>
        <w:numPr>
          <w:ilvl w:val="0"/>
          <w:numId w:val="4"/>
        </w:numPr>
        <w:jc w:val="both"/>
        <w:rPr>
          <w:rFonts w:ascii="Verdana" w:hAnsi="Verdana"/>
          <w:b/>
          <w:bCs/>
          <w:color w:val="365F91" w:themeColor="accent1" w:themeShade="BF"/>
        </w:rPr>
      </w:pPr>
      <w:r w:rsidRPr="00FA58F4">
        <w:rPr>
          <w:rFonts w:ascii="Verdana" w:hAnsi="Verdana"/>
          <w:b/>
          <w:bCs/>
          <w:color w:val="365F91" w:themeColor="accent1" w:themeShade="BF"/>
        </w:rPr>
        <w:t>What is the Conflict of Interest Obligation under Regulation Best Interest?</w:t>
      </w:r>
    </w:p>
    <w:p w14:paraId="73B9702A" w14:textId="502DE926" w:rsidR="00ED7323" w:rsidRDefault="008112B2" w:rsidP="00FA58F4">
      <w:pPr>
        <w:ind w:left="720"/>
        <w:jc w:val="both"/>
        <w:rPr>
          <w:rFonts w:ascii="Verdana" w:hAnsi="Verdana"/>
          <w:sz w:val="22"/>
          <w:szCs w:val="22"/>
        </w:rPr>
      </w:pPr>
      <w:r>
        <w:rPr>
          <w:rFonts w:ascii="Verdana" w:hAnsi="Verdana"/>
          <w:sz w:val="22"/>
          <w:szCs w:val="22"/>
        </w:rPr>
        <w:t>Under Reg BI, a conflict of interest is defined as “an interest that might incline a broker dealer or a natural person who is an associated person of a broker dealer – consciously or unconsciously – to make a recommendation that is not disinterested”.</w:t>
      </w:r>
    </w:p>
    <w:p w14:paraId="0C562735" w14:textId="602ACBE8" w:rsidR="008112B2" w:rsidRDefault="008112B2" w:rsidP="00B60597">
      <w:pPr>
        <w:jc w:val="both"/>
        <w:rPr>
          <w:rFonts w:ascii="Verdana" w:hAnsi="Verdana"/>
          <w:sz w:val="22"/>
          <w:szCs w:val="22"/>
        </w:rPr>
      </w:pPr>
    </w:p>
    <w:p w14:paraId="7C3A67E8" w14:textId="0C43791A" w:rsidR="008112B2" w:rsidRPr="00FA58F4" w:rsidRDefault="008112B2" w:rsidP="004A6550">
      <w:pPr>
        <w:pStyle w:val="ListParagraph"/>
        <w:numPr>
          <w:ilvl w:val="0"/>
          <w:numId w:val="4"/>
        </w:numPr>
        <w:jc w:val="both"/>
        <w:rPr>
          <w:rFonts w:ascii="Verdana" w:hAnsi="Verdana"/>
          <w:b/>
          <w:bCs/>
          <w:color w:val="1F497D" w:themeColor="text2"/>
        </w:rPr>
      </w:pPr>
      <w:r w:rsidRPr="00FA58F4">
        <w:rPr>
          <w:rFonts w:ascii="Verdana" w:hAnsi="Verdana"/>
          <w:b/>
          <w:bCs/>
          <w:color w:val="1F497D" w:themeColor="text2"/>
        </w:rPr>
        <w:t>How is PCS Addressing the Conflict of Interest Obligation?</w:t>
      </w:r>
    </w:p>
    <w:p w14:paraId="5CDF7621" w14:textId="04A8067C" w:rsidR="00FC1389" w:rsidRDefault="008112B2" w:rsidP="00AE2272">
      <w:pPr>
        <w:ind w:left="720"/>
        <w:jc w:val="both"/>
        <w:rPr>
          <w:rFonts w:ascii="Verdana" w:hAnsi="Verdana"/>
          <w:sz w:val="22"/>
          <w:szCs w:val="22"/>
        </w:rPr>
      </w:pPr>
      <w:r>
        <w:rPr>
          <w:rFonts w:ascii="Verdana" w:hAnsi="Verdana"/>
          <w:sz w:val="22"/>
          <w:szCs w:val="22"/>
        </w:rPr>
        <w:t>PCS addresses potential conflicts on page three of the Form CRS. The document contains some examples of conflicts of interest to aid retail customers in their understanding of the concept.</w:t>
      </w:r>
      <w:r w:rsidR="00A27FA9">
        <w:rPr>
          <w:rFonts w:ascii="Verdana" w:hAnsi="Verdana"/>
          <w:sz w:val="22"/>
          <w:szCs w:val="22"/>
        </w:rPr>
        <w:t xml:space="preserve"> </w:t>
      </w:r>
      <w:r>
        <w:rPr>
          <w:rFonts w:ascii="Verdana" w:hAnsi="Verdana"/>
          <w:sz w:val="22"/>
          <w:szCs w:val="22"/>
        </w:rPr>
        <w:t xml:space="preserve">Conflicts of interest are also addressed in the Regulation Best Interest Disclosure document in the Compensation section. </w:t>
      </w:r>
    </w:p>
    <w:p w14:paraId="3D0D8822" w14:textId="4B2C45F6" w:rsidR="008A721E" w:rsidRDefault="008A721E" w:rsidP="008A721E">
      <w:pPr>
        <w:jc w:val="both"/>
        <w:rPr>
          <w:rFonts w:ascii="Verdana" w:hAnsi="Verdana"/>
          <w:sz w:val="22"/>
          <w:szCs w:val="22"/>
        </w:rPr>
      </w:pPr>
    </w:p>
    <w:p w14:paraId="7C84BE63" w14:textId="77777777" w:rsidR="008A721E" w:rsidRDefault="008A721E" w:rsidP="008A721E">
      <w:pPr>
        <w:jc w:val="both"/>
        <w:rPr>
          <w:rFonts w:ascii="Verdana" w:hAnsi="Verdana"/>
          <w:sz w:val="22"/>
          <w:szCs w:val="22"/>
        </w:rPr>
      </w:pPr>
    </w:p>
    <w:p w14:paraId="5B2C7E72" w14:textId="77777777" w:rsidR="0049794D" w:rsidRDefault="0049794D" w:rsidP="0049794D">
      <w:pPr>
        <w:jc w:val="both"/>
        <w:rPr>
          <w:rFonts w:ascii="Verdana" w:hAnsi="Verdana"/>
          <w:b/>
          <w:bCs/>
          <w:sz w:val="22"/>
          <w:szCs w:val="22"/>
          <w:u w:val="single"/>
        </w:rPr>
      </w:pPr>
      <w:r w:rsidRPr="004A6550">
        <w:rPr>
          <w:rFonts w:ascii="Verdana" w:hAnsi="Verdana"/>
          <w:b/>
          <w:bCs/>
          <w:sz w:val="22"/>
          <w:szCs w:val="22"/>
          <w:u w:val="single"/>
        </w:rPr>
        <w:t>Recommendation Documentation</w:t>
      </w:r>
    </w:p>
    <w:p w14:paraId="54FBAFDB" w14:textId="77777777" w:rsidR="0049794D" w:rsidRDefault="0049794D" w:rsidP="0049794D">
      <w:pPr>
        <w:jc w:val="both"/>
        <w:rPr>
          <w:rFonts w:ascii="Verdana" w:hAnsi="Verdana"/>
          <w:b/>
          <w:bCs/>
          <w:sz w:val="22"/>
          <w:szCs w:val="22"/>
          <w:u w:val="single"/>
        </w:rPr>
      </w:pPr>
    </w:p>
    <w:p w14:paraId="56965998" w14:textId="77777777" w:rsidR="0049794D" w:rsidRPr="00025FD1" w:rsidRDefault="0049794D" w:rsidP="0049794D">
      <w:pPr>
        <w:pStyle w:val="ListParagraph"/>
        <w:numPr>
          <w:ilvl w:val="0"/>
          <w:numId w:val="4"/>
        </w:numPr>
        <w:jc w:val="both"/>
        <w:rPr>
          <w:rFonts w:ascii="Verdana" w:hAnsi="Verdana" w:cs="Helvetica"/>
          <w:b/>
          <w:bCs/>
          <w:color w:val="365F91" w:themeColor="accent1" w:themeShade="BF"/>
          <w:shd w:val="clear" w:color="auto" w:fill="FFFFFF"/>
        </w:rPr>
      </w:pPr>
      <w:r w:rsidRPr="00025FD1">
        <w:rPr>
          <w:rFonts w:ascii="Verdana" w:hAnsi="Verdana" w:cs="Helvetica"/>
          <w:b/>
          <w:bCs/>
          <w:color w:val="365F91" w:themeColor="accent1" w:themeShade="BF"/>
          <w:shd w:val="clear" w:color="auto" w:fill="FFFFFF"/>
        </w:rPr>
        <w:t>Does a Registered Representative have to document every recommendation in a brokerage account under Reg BI?</w:t>
      </w:r>
    </w:p>
    <w:p w14:paraId="60F811C8" w14:textId="77777777" w:rsidR="0049794D" w:rsidRDefault="0049794D" w:rsidP="0049794D">
      <w:pPr>
        <w:ind w:left="720"/>
        <w:jc w:val="both"/>
        <w:rPr>
          <w:rFonts w:ascii="Verdana" w:hAnsi="Verdana" w:cs="Helvetica"/>
          <w:sz w:val="22"/>
          <w:szCs w:val="22"/>
          <w:shd w:val="clear" w:color="auto" w:fill="FFFFFF"/>
        </w:rPr>
      </w:pPr>
      <w:r w:rsidRPr="009E3DCC">
        <w:rPr>
          <w:rFonts w:ascii="Verdana" w:hAnsi="Verdana" w:cs="Helvetica"/>
          <w:sz w:val="22"/>
          <w:szCs w:val="22"/>
          <w:shd w:val="clear" w:color="auto" w:fill="FFFFFF"/>
        </w:rPr>
        <w:t>No, Regu</w:t>
      </w:r>
      <w:r>
        <w:rPr>
          <w:rFonts w:ascii="Verdana" w:hAnsi="Verdana" w:cs="Helvetica"/>
          <w:sz w:val="22"/>
          <w:szCs w:val="22"/>
          <w:shd w:val="clear" w:color="auto" w:fill="FFFFFF"/>
        </w:rPr>
        <w:t>lation Best Interest does NOT require every recommendation made within a brokerage account to be documented so long as PCS and the Registered Representative can describe the overall goal, purpose or strategy used to base recommendations.</w:t>
      </w:r>
    </w:p>
    <w:p w14:paraId="27CEFF46" w14:textId="77777777" w:rsidR="0049794D" w:rsidRDefault="0049794D" w:rsidP="0049794D">
      <w:pPr>
        <w:ind w:left="720"/>
        <w:jc w:val="both"/>
        <w:rPr>
          <w:rFonts w:ascii="Verdana" w:hAnsi="Verdana" w:cs="Helvetica"/>
          <w:sz w:val="22"/>
          <w:szCs w:val="22"/>
          <w:shd w:val="clear" w:color="auto" w:fill="FFFFFF"/>
        </w:rPr>
      </w:pPr>
    </w:p>
    <w:p w14:paraId="4B23DD32" w14:textId="77777777" w:rsidR="0049794D" w:rsidRDefault="0049794D" w:rsidP="0049794D">
      <w:pPr>
        <w:ind w:left="720"/>
        <w:jc w:val="both"/>
        <w:rPr>
          <w:rStyle w:val="Hyperlink"/>
          <w:rFonts w:ascii="Verdana" w:hAnsi="Verdana" w:cs="Helvetica"/>
          <w:i/>
          <w:iCs/>
          <w:sz w:val="22"/>
          <w:szCs w:val="22"/>
          <w:shd w:val="clear" w:color="auto" w:fill="FFFFFF"/>
        </w:rPr>
      </w:pPr>
      <w:r>
        <w:rPr>
          <w:rFonts w:ascii="Verdana" w:hAnsi="Verdana" w:cs="Helvetica"/>
          <w:sz w:val="22"/>
          <w:szCs w:val="22"/>
          <w:shd w:val="clear" w:color="auto" w:fill="FFFFFF"/>
        </w:rPr>
        <w:t xml:space="preserve">To identify the strategy for a brokerage account (and avoid documenting each individual recommendation), you need to discuss the investment goals, timeframe, risk exposure, tax situation, and other factors with the client. Working with the client, an investment strategy should be developed which aligns with the client profile. </w:t>
      </w:r>
      <w:hyperlink r:id="rId15" w:history="1">
        <w:r w:rsidRPr="00025FD1">
          <w:rPr>
            <w:rStyle w:val="Hyperlink"/>
            <w:rFonts w:ascii="Verdana" w:hAnsi="Verdana" w:cs="Helvetica"/>
            <w:i/>
            <w:iCs/>
            <w:sz w:val="22"/>
            <w:szCs w:val="22"/>
            <w:shd w:val="clear" w:color="auto" w:fill="FFFFFF"/>
          </w:rPr>
          <w:t>Please see the Regulation Best Interest Recommendation Processes and Brokerage Account Strategy documents for additional detail.</w:t>
        </w:r>
      </w:hyperlink>
    </w:p>
    <w:p w14:paraId="39E9ACEB" w14:textId="77777777" w:rsidR="0049794D" w:rsidRDefault="0049794D" w:rsidP="0049794D">
      <w:pPr>
        <w:ind w:left="720"/>
        <w:jc w:val="both"/>
        <w:rPr>
          <w:rStyle w:val="Hyperlink"/>
          <w:rFonts w:ascii="Verdana" w:hAnsi="Verdana" w:cs="Helvetica"/>
          <w:i/>
          <w:iCs/>
          <w:sz w:val="22"/>
          <w:szCs w:val="22"/>
          <w:shd w:val="clear" w:color="auto" w:fill="FFFFFF"/>
        </w:rPr>
      </w:pPr>
    </w:p>
    <w:p w14:paraId="3E5DEB43" w14:textId="77777777" w:rsidR="0049794D" w:rsidRDefault="0049794D" w:rsidP="0049794D">
      <w:pPr>
        <w:jc w:val="both"/>
        <w:rPr>
          <w:rFonts w:ascii="Verdana" w:hAnsi="Verdana"/>
          <w:sz w:val="22"/>
          <w:szCs w:val="22"/>
        </w:rPr>
      </w:pPr>
    </w:p>
    <w:p w14:paraId="34172CED" w14:textId="77777777" w:rsidR="0049794D" w:rsidRPr="00B95EC3" w:rsidRDefault="0049794D" w:rsidP="0049794D">
      <w:pPr>
        <w:pStyle w:val="ListParagraph"/>
        <w:numPr>
          <w:ilvl w:val="0"/>
          <w:numId w:val="4"/>
        </w:numPr>
        <w:jc w:val="both"/>
        <w:rPr>
          <w:rFonts w:ascii="Verdana" w:hAnsi="Verdana" w:cs="Helvetica"/>
          <w:i/>
          <w:iCs/>
          <w:color w:val="365F91" w:themeColor="accent1" w:themeShade="BF"/>
          <w:shd w:val="clear" w:color="auto" w:fill="FFFFFF"/>
        </w:rPr>
      </w:pPr>
      <w:r w:rsidRPr="00B95EC3">
        <w:rPr>
          <w:rFonts w:ascii="Verdana" w:hAnsi="Verdana" w:cs="Helvetica"/>
          <w:b/>
          <w:bCs/>
          <w:color w:val="365F91" w:themeColor="accent1" w:themeShade="BF"/>
          <w:shd w:val="clear" w:color="auto" w:fill="FFFFFF"/>
        </w:rPr>
        <w:t>I am completing a BD Change only and the account registration is not being changed. Do I need the Recommendation Documentation Supplement?</w:t>
      </w:r>
    </w:p>
    <w:p w14:paraId="782353CA" w14:textId="77777777" w:rsidR="0049794D" w:rsidRPr="00B95EC3" w:rsidRDefault="0049794D" w:rsidP="0049794D">
      <w:pPr>
        <w:pStyle w:val="ListParagraph"/>
        <w:ind w:left="450"/>
        <w:jc w:val="both"/>
        <w:rPr>
          <w:rFonts w:ascii="Verdana" w:hAnsi="Verdana" w:cs="Helvetica"/>
          <w:b/>
          <w:bCs/>
          <w:shd w:val="clear" w:color="auto" w:fill="FFFFFF"/>
        </w:rPr>
      </w:pPr>
    </w:p>
    <w:p w14:paraId="7E526876" w14:textId="77777777" w:rsidR="0049794D" w:rsidRPr="00B95EC3" w:rsidRDefault="0049794D" w:rsidP="0049794D">
      <w:pPr>
        <w:pStyle w:val="ListParagraph"/>
        <w:ind w:left="450"/>
        <w:jc w:val="both"/>
        <w:rPr>
          <w:rFonts w:ascii="Verdana" w:hAnsi="Verdana" w:cs="Helvetica"/>
          <w:shd w:val="clear" w:color="auto" w:fill="FFFFFF"/>
        </w:rPr>
      </w:pPr>
      <w:r w:rsidRPr="00B95EC3">
        <w:rPr>
          <w:rFonts w:ascii="Verdana" w:hAnsi="Verdana" w:cs="Helvetica"/>
          <w:shd w:val="clear" w:color="auto" w:fill="FFFFFF"/>
        </w:rPr>
        <w:t>No, the Recommendation Documentation Supplement is not required in this case.</w:t>
      </w:r>
    </w:p>
    <w:p w14:paraId="3A7E6F47" w14:textId="77777777" w:rsidR="0049794D" w:rsidRPr="00B95EC3" w:rsidRDefault="0049794D" w:rsidP="0049794D">
      <w:pPr>
        <w:jc w:val="both"/>
        <w:rPr>
          <w:rFonts w:ascii="Verdana" w:hAnsi="Verdana" w:cs="Helvetica"/>
          <w:shd w:val="clear" w:color="auto" w:fill="FFFFFF"/>
        </w:rPr>
      </w:pPr>
    </w:p>
    <w:p w14:paraId="1F7FCCBD" w14:textId="77777777" w:rsidR="0049794D" w:rsidRPr="00B95EC3" w:rsidRDefault="0049794D" w:rsidP="0049794D">
      <w:pPr>
        <w:pStyle w:val="ListParagraph"/>
        <w:numPr>
          <w:ilvl w:val="0"/>
          <w:numId w:val="4"/>
        </w:numPr>
        <w:jc w:val="both"/>
        <w:rPr>
          <w:rFonts w:ascii="Verdana" w:hAnsi="Verdana" w:cs="Helvetica"/>
          <w:shd w:val="clear" w:color="auto" w:fill="FFFFFF"/>
        </w:rPr>
      </w:pPr>
      <w:r w:rsidRPr="00B95EC3">
        <w:rPr>
          <w:rFonts w:ascii="Verdana" w:hAnsi="Verdana" w:cs="Helvetica"/>
          <w:b/>
          <w:bCs/>
          <w:color w:val="365F91" w:themeColor="accent1" w:themeShade="BF"/>
          <w:shd w:val="clear" w:color="auto" w:fill="FFFFFF"/>
        </w:rPr>
        <w:t>If a recommendation is presented to a prospect who never opens an account, what should I do with the Recommendation Documentation Supplement?</w:t>
      </w:r>
    </w:p>
    <w:p w14:paraId="04DE2F41" w14:textId="77777777" w:rsidR="0049794D" w:rsidRPr="00B95EC3" w:rsidRDefault="0049794D" w:rsidP="0049794D">
      <w:pPr>
        <w:pStyle w:val="ListParagraph"/>
        <w:ind w:left="450"/>
        <w:jc w:val="both"/>
        <w:rPr>
          <w:rFonts w:ascii="Verdana" w:hAnsi="Verdana" w:cs="Helvetica"/>
          <w:b/>
          <w:bCs/>
          <w:color w:val="365F91" w:themeColor="accent1" w:themeShade="BF"/>
          <w:shd w:val="clear" w:color="auto" w:fill="FFFFFF"/>
        </w:rPr>
      </w:pPr>
    </w:p>
    <w:p w14:paraId="5AC773C1" w14:textId="77777777" w:rsidR="0049794D" w:rsidRPr="00B95EC3" w:rsidRDefault="0049794D" w:rsidP="0049794D">
      <w:pPr>
        <w:pStyle w:val="ListParagraph"/>
        <w:ind w:left="450"/>
        <w:jc w:val="both"/>
        <w:rPr>
          <w:rFonts w:ascii="Verdana" w:hAnsi="Verdana" w:cs="Helvetica"/>
          <w:shd w:val="clear" w:color="auto" w:fill="FFFFFF"/>
        </w:rPr>
      </w:pPr>
      <w:r w:rsidRPr="00B95EC3">
        <w:rPr>
          <w:rFonts w:ascii="Verdana" w:hAnsi="Verdana" w:cs="Helvetica"/>
          <w:shd w:val="clear" w:color="auto" w:fill="FFFFFF"/>
        </w:rPr>
        <w:t xml:space="preserve">You should maintain the supplement in your branch office and submit it to Operations. A copy will then be maintained in the PCS central files. The delivery date of Form CRS should be noted on the Recommendation Documentation Supplement. </w:t>
      </w:r>
    </w:p>
    <w:p w14:paraId="30B09439" w14:textId="77777777" w:rsidR="0049794D" w:rsidRPr="00B95EC3" w:rsidRDefault="0049794D" w:rsidP="0049794D">
      <w:pPr>
        <w:jc w:val="both"/>
        <w:rPr>
          <w:rFonts w:ascii="Verdana" w:hAnsi="Verdana" w:cs="Helvetica"/>
          <w:color w:val="365F91" w:themeColor="accent1" w:themeShade="BF"/>
          <w:shd w:val="clear" w:color="auto" w:fill="FFFFFF"/>
        </w:rPr>
      </w:pPr>
    </w:p>
    <w:p w14:paraId="013311C6" w14:textId="7ED9D062" w:rsidR="0049794D" w:rsidRPr="00B95EC3" w:rsidRDefault="0049794D" w:rsidP="0049794D">
      <w:pPr>
        <w:pStyle w:val="ListParagraph"/>
        <w:numPr>
          <w:ilvl w:val="0"/>
          <w:numId w:val="4"/>
        </w:numPr>
        <w:jc w:val="both"/>
        <w:rPr>
          <w:rFonts w:ascii="Verdana" w:hAnsi="Verdana" w:cs="Helvetica"/>
          <w:b/>
          <w:bCs/>
          <w:color w:val="365F91" w:themeColor="accent1" w:themeShade="BF"/>
          <w:shd w:val="clear" w:color="auto" w:fill="FFFFFF"/>
        </w:rPr>
      </w:pPr>
      <w:r w:rsidRPr="00B95EC3">
        <w:rPr>
          <w:rFonts w:ascii="Verdana" w:hAnsi="Verdana" w:cs="Helvetica"/>
          <w:b/>
          <w:bCs/>
          <w:color w:val="365F91" w:themeColor="accent1" w:themeShade="BF"/>
          <w:shd w:val="clear" w:color="auto" w:fill="FFFFFF"/>
        </w:rPr>
        <w:t>If I only recommend holding current positions, no new transactions, do I still need to complete the Recommendation Documentation Supplement?</w:t>
      </w:r>
    </w:p>
    <w:p w14:paraId="1F3D7BD9" w14:textId="77777777" w:rsidR="0049794D" w:rsidRPr="000D67D1" w:rsidRDefault="0049794D" w:rsidP="0049794D">
      <w:pPr>
        <w:jc w:val="both"/>
        <w:rPr>
          <w:rFonts w:ascii="Verdana" w:hAnsi="Verdana" w:cs="Helvetica"/>
          <w:b/>
          <w:bCs/>
          <w:color w:val="548DD4" w:themeColor="text2" w:themeTint="99"/>
          <w:sz w:val="22"/>
          <w:szCs w:val="22"/>
          <w:highlight w:val="yellow"/>
          <w:shd w:val="clear" w:color="auto" w:fill="FFFFFF"/>
        </w:rPr>
      </w:pPr>
    </w:p>
    <w:p w14:paraId="14C5000A" w14:textId="77777777" w:rsidR="0049794D" w:rsidRPr="000D67D1" w:rsidRDefault="0049794D" w:rsidP="0049794D">
      <w:pPr>
        <w:ind w:left="720"/>
        <w:jc w:val="both"/>
        <w:rPr>
          <w:rFonts w:ascii="Verdana" w:hAnsi="Verdana" w:cs="Helvetica"/>
          <w:sz w:val="22"/>
          <w:szCs w:val="22"/>
          <w:shd w:val="clear" w:color="auto" w:fill="FFFFFF"/>
        </w:rPr>
      </w:pPr>
      <w:r w:rsidRPr="00B95EC3">
        <w:rPr>
          <w:rFonts w:ascii="Verdana" w:hAnsi="Verdana" w:cs="Helvetica"/>
          <w:sz w:val="22"/>
          <w:szCs w:val="22"/>
          <w:shd w:val="clear" w:color="auto" w:fill="FFFFFF"/>
        </w:rPr>
        <w:t>Yes. Recommending that the client hold current positions is still a recommendation that should be documented.  Hold recommendations and the need to document them were the subject matter of previous FINRA guidance, and Reg BI has strengthened that requirement.  A hold recommendation is still a recommendation and the rationale should be documented in order to be in compliance with the rule.</w:t>
      </w:r>
    </w:p>
    <w:p w14:paraId="649F3431" w14:textId="2FDF4932" w:rsidR="0049794D" w:rsidRDefault="0049794D" w:rsidP="0049794D">
      <w:pPr>
        <w:jc w:val="both"/>
        <w:rPr>
          <w:rFonts w:ascii="Verdana" w:hAnsi="Verdana"/>
          <w:b/>
          <w:bCs/>
          <w:sz w:val="22"/>
          <w:szCs w:val="22"/>
          <w:u w:val="single"/>
        </w:rPr>
      </w:pPr>
    </w:p>
    <w:p w14:paraId="2407D357" w14:textId="49239E97" w:rsidR="00432C2F" w:rsidRPr="00432C2F" w:rsidRDefault="00EA41E5" w:rsidP="00432C2F">
      <w:pPr>
        <w:pStyle w:val="ListParagraph"/>
        <w:numPr>
          <w:ilvl w:val="0"/>
          <w:numId w:val="4"/>
        </w:numPr>
        <w:jc w:val="both"/>
        <w:rPr>
          <w:rFonts w:ascii="Verdana" w:hAnsi="Verdana"/>
          <w:b/>
          <w:bCs/>
          <w:highlight w:val="yellow"/>
          <w:u w:val="single"/>
        </w:rPr>
      </w:pPr>
      <w:bookmarkStart w:id="3" w:name="_Hlk55209783"/>
      <w:r>
        <w:rPr>
          <w:rFonts w:ascii="Verdana" w:hAnsi="Verdana"/>
          <w:b/>
          <w:bCs/>
          <w:color w:val="215868" w:themeColor="accent5" w:themeShade="80"/>
          <w:highlight w:val="yellow"/>
        </w:rPr>
        <w:t>For product r</w:t>
      </w:r>
      <w:r w:rsidR="00432C2F" w:rsidRPr="00432C2F">
        <w:rPr>
          <w:rFonts w:ascii="Verdana" w:hAnsi="Verdana"/>
          <w:b/>
          <w:bCs/>
          <w:color w:val="215868" w:themeColor="accent5" w:themeShade="80"/>
          <w:highlight w:val="yellow"/>
        </w:rPr>
        <w:t>ecommendation</w:t>
      </w:r>
      <w:r>
        <w:rPr>
          <w:rFonts w:ascii="Verdana" w:hAnsi="Verdana"/>
          <w:b/>
          <w:bCs/>
          <w:color w:val="215868" w:themeColor="accent5" w:themeShade="80"/>
          <w:highlight w:val="yellow"/>
        </w:rPr>
        <w:t>s</w:t>
      </w:r>
      <w:r w:rsidR="00C5429B">
        <w:rPr>
          <w:rFonts w:ascii="Verdana" w:hAnsi="Verdana"/>
          <w:b/>
          <w:bCs/>
          <w:color w:val="215868" w:themeColor="accent5" w:themeShade="80"/>
          <w:highlight w:val="yellow"/>
        </w:rPr>
        <w:t>,</w:t>
      </w:r>
      <w:r>
        <w:rPr>
          <w:rFonts w:ascii="Verdana" w:hAnsi="Verdana"/>
          <w:b/>
          <w:bCs/>
          <w:color w:val="215868" w:themeColor="accent5" w:themeShade="80"/>
          <w:highlight w:val="yellow"/>
        </w:rPr>
        <w:t xml:space="preserve"> the Recommendation</w:t>
      </w:r>
      <w:r w:rsidR="00432C2F" w:rsidRPr="00432C2F">
        <w:rPr>
          <w:rFonts w:ascii="Verdana" w:hAnsi="Verdana"/>
          <w:b/>
          <w:bCs/>
          <w:color w:val="215868" w:themeColor="accent5" w:themeShade="80"/>
          <w:highlight w:val="yellow"/>
        </w:rPr>
        <w:t xml:space="preserve"> Documentation Supplement and Securities Purchase Form seem redundant. Why do I need to complete both?</w:t>
      </w:r>
    </w:p>
    <w:p w14:paraId="5A6BA847" w14:textId="6F238F72" w:rsidR="00432C2F" w:rsidRDefault="00432C2F" w:rsidP="00432C2F">
      <w:pPr>
        <w:pStyle w:val="ListParagraph"/>
        <w:ind w:left="450"/>
        <w:jc w:val="both"/>
        <w:rPr>
          <w:rFonts w:ascii="Verdana" w:hAnsi="Verdana"/>
          <w:b/>
          <w:bCs/>
          <w:color w:val="215868" w:themeColor="accent5" w:themeShade="80"/>
        </w:rPr>
      </w:pPr>
    </w:p>
    <w:p w14:paraId="5212D6FA" w14:textId="45905C81" w:rsidR="00432C2F" w:rsidRPr="009922DB" w:rsidRDefault="00EA41E5" w:rsidP="00432C2F">
      <w:pPr>
        <w:ind w:left="720"/>
        <w:jc w:val="both"/>
        <w:rPr>
          <w:rFonts w:ascii="Verdana" w:hAnsi="Verdana"/>
          <w:sz w:val="22"/>
          <w:szCs w:val="22"/>
          <w:highlight w:val="yellow"/>
        </w:rPr>
      </w:pPr>
      <w:r w:rsidRPr="009922DB">
        <w:rPr>
          <w:rFonts w:ascii="Verdana" w:hAnsi="Verdana"/>
          <w:sz w:val="22"/>
          <w:szCs w:val="22"/>
          <w:highlight w:val="yellow"/>
        </w:rPr>
        <w:t xml:space="preserve">The </w:t>
      </w:r>
      <w:r w:rsidRPr="009922DB">
        <w:rPr>
          <w:rFonts w:ascii="Verdana" w:hAnsi="Verdana"/>
          <w:b/>
          <w:bCs/>
          <w:sz w:val="22"/>
          <w:szCs w:val="22"/>
          <w:highlight w:val="yellow"/>
        </w:rPr>
        <w:t>Recommendation Documentation Supplement</w:t>
      </w:r>
      <w:r w:rsidRPr="009922DB">
        <w:rPr>
          <w:rFonts w:ascii="Verdana" w:hAnsi="Verdana"/>
          <w:sz w:val="22"/>
          <w:szCs w:val="22"/>
          <w:highlight w:val="yellow"/>
        </w:rPr>
        <w:t xml:space="preserve"> should be used to document t</w:t>
      </w:r>
      <w:r w:rsidR="00432C2F" w:rsidRPr="009922DB">
        <w:rPr>
          <w:rFonts w:ascii="Verdana" w:hAnsi="Verdana"/>
          <w:sz w:val="22"/>
          <w:szCs w:val="22"/>
          <w:highlight w:val="yellow"/>
        </w:rPr>
        <w:t xml:space="preserve">he </w:t>
      </w:r>
      <w:r w:rsidR="004F2953" w:rsidRPr="009922DB">
        <w:rPr>
          <w:rFonts w:ascii="Verdana" w:hAnsi="Verdana"/>
          <w:b/>
          <w:bCs/>
          <w:sz w:val="22"/>
          <w:szCs w:val="22"/>
          <w:highlight w:val="yellow"/>
        </w:rPr>
        <w:t xml:space="preserve">thought </w:t>
      </w:r>
      <w:r w:rsidR="00432C2F" w:rsidRPr="009922DB">
        <w:rPr>
          <w:rFonts w:ascii="Verdana" w:hAnsi="Verdana"/>
          <w:b/>
          <w:bCs/>
          <w:sz w:val="22"/>
          <w:szCs w:val="22"/>
          <w:highlight w:val="yellow"/>
        </w:rPr>
        <w:t xml:space="preserve">process </w:t>
      </w:r>
      <w:r w:rsidR="004F2953" w:rsidRPr="009922DB">
        <w:rPr>
          <w:rFonts w:ascii="Verdana" w:hAnsi="Verdana"/>
          <w:b/>
          <w:bCs/>
          <w:sz w:val="22"/>
          <w:szCs w:val="22"/>
          <w:highlight w:val="yellow"/>
        </w:rPr>
        <w:t>and due diligence</w:t>
      </w:r>
      <w:r w:rsidR="004F2953" w:rsidRPr="009922DB">
        <w:rPr>
          <w:rFonts w:ascii="Verdana" w:hAnsi="Verdana"/>
          <w:sz w:val="22"/>
          <w:szCs w:val="22"/>
          <w:highlight w:val="yellow"/>
        </w:rPr>
        <w:t xml:space="preserve"> </w:t>
      </w:r>
      <w:r w:rsidR="00432C2F" w:rsidRPr="009922DB">
        <w:rPr>
          <w:rFonts w:ascii="Verdana" w:hAnsi="Verdana"/>
          <w:sz w:val="22"/>
          <w:szCs w:val="22"/>
          <w:highlight w:val="yellow"/>
        </w:rPr>
        <w:t>of getting from a broad universe of available products to  the specific product</w:t>
      </w:r>
      <w:r w:rsidR="000A0E8F" w:rsidRPr="009922DB">
        <w:rPr>
          <w:rFonts w:ascii="Verdana" w:hAnsi="Verdana"/>
          <w:sz w:val="22"/>
          <w:szCs w:val="22"/>
          <w:highlight w:val="yellow"/>
        </w:rPr>
        <w:t>(s)</w:t>
      </w:r>
      <w:r w:rsidR="00432C2F" w:rsidRPr="009922DB">
        <w:rPr>
          <w:rFonts w:ascii="Verdana" w:hAnsi="Verdana"/>
          <w:sz w:val="22"/>
          <w:szCs w:val="22"/>
          <w:highlight w:val="yellow"/>
        </w:rPr>
        <w:t xml:space="preserve"> </w:t>
      </w:r>
      <w:r w:rsidR="000A0E8F" w:rsidRPr="009922DB">
        <w:rPr>
          <w:rFonts w:ascii="Verdana" w:hAnsi="Verdana"/>
          <w:sz w:val="22"/>
          <w:szCs w:val="22"/>
          <w:highlight w:val="yellow"/>
        </w:rPr>
        <w:t xml:space="preserve">recommended as being in the client’s best interest. </w:t>
      </w:r>
      <w:r w:rsidRPr="009922DB">
        <w:rPr>
          <w:rFonts w:ascii="Verdana" w:hAnsi="Verdana"/>
          <w:sz w:val="22"/>
          <w:szCs w:val="22"/>
          <w:highlight w:val="yellow"/>
        </w:rPr>
        <w:t>This process</w:t>
      </w:r>
      <w:r w:rsidR="004F2953" w:rsidRPr="009922DB">
        <w:rPr>
          <w:rFonts w:ascii="Verdana" w:hAnsi="Verdana"/>
          <w:sz w:val="22"/>
          <w:szCs w:val="22"/>
          <w:highlight w:val="yellow"/>
        </w:rPr>
        <w:t xml:space="preserve"> must </w:t>
      </w:r>
      <w:r w:rsidR="00432C2F" w:rsidRPr="009922DB">
        <w:rPr>
          <w:rFonts w:ascii="Verdana" w:hAnsi="Verdana"/>
          <w:sz w:val="22"/>
          <w:szCs w:val="22"/>
          <w:highlight w:val="yellow"/>
        </w:rPr>
        <w:t xml:space="preserve"> involve consideration of multiple factors</w:t>
      </w:r>
      <w:r w:rsidRPr="009922DB">
        <w:rPr>
          <w:rFonts w:ascii="Verdana" w:hAnsi="Verdana"/>
          <w:sz w:val="22"/>
          <w:szCs w:val="22"/>
          <w:highlight w:val="yellow"/>
        </w:rPr>
        <w:t>, including</w:t>
      </w:r>
      <w:r w:rsidR="00432C2F" w:rsidRPr="009922DB">
        <w:rPr>
          <w:rFonts w:ascii="Verdana" w:hAnsi="Verdana"/>
          <w:sz w:val="22"/>
          <w:szCs w:val="22"/>
          <w:highlight w:val="yellow"/>
        </w:rPr>
        <w:t xml:space="preserve">  </w:t>
      </w:r>
      <w:r w:rsidRPr="009922DB">
        <w:rPr>
          <w:rFonts w:ascii="Verdana" w:hAnsi="Verdana"/>
          <w:sz w:val="22"/>
          <w:szCs w:val="22"/>
          <w:highlight w:val="yellow"/>
        </w:rPr>
        <w:t xml:space="preserve">client goals and profile, potential product risks, rewards and cost, along with </w:t>
      </w:r>
      <w:r w:rsidR="000A0E8F" w:rsidRPr="009922DB">
        <w:rPr>
          <w:rFonts w:ascii="Verdana" w:hAnsi="Verdana"/>
          <w:sz w:val="22"/>
          <w:szCs w:val="22"/>
          <w:highlight w:val="yellow"/>
        </w:rPr>
        <w:t xml:space="preserve">use of </w:t>
      </w:r>
      <w:r w:rsidRPr="009922DB">
        <w:rPr>
          <w:rFonts w:ascii="Verdana" w:hAnsi="Verdana"/>
          <w:sz w:val="22"/>
          <w:szCs w:val="22"/>
          <w:highlight w:val="yellow"/>
        </w:rPr>
        <w:t>various due diligence tools and reports.</w:t>
      </w:r>
      <w:r w:rsidR="004F2953" w:rsidRPr="009922DB">
        <w:rPr>
          <w:rFonts w:ascii="Verdana" w:hAnsi="Verdana"/>
          <w:sz w:val="22"/>
          <w:szCs w:val="22"/>
          <w:highlight w:val="yellow"/>
        </w:rPr>
        <w:t xml:space="preserve"> Check boxes are provided for convenience. </w:t>
      </w:r>
      <w:r w:rsidR="000A0E8F" w:rsidRPr="009922DB">
        <w:rPr>
          <w:rFonts w:ascii="Verdana" w:hAnsi="Verdana"/>
          <w:sz w:val="22"/>
          <w:szCs w:val="22"/>
          <w:highlight w:val="yellow"/>
        </w:rPr>
        <w:t xml:space="preserve">Products which </w:t>
      </w:r>
      <w:r w:rsidR="004F2953" w:rsidRPr="009922DB">
        <w:rPr>
          <w:rFonts w:ascii="Verdana" w:hAnsi="Verdana"/>
          <w:sz w:val="22"/>
          <w:szCs w:val="22"/>
          <w:highlight w:val="yellow"/>
        </w:rPr>
        <w:t xml:space="preserve">are considered </w:t>
      </w:r>
      <w:r w:rsidR="000A0E8F" w:rsidRPr="009922DB">
        <w:rPr>
          <w:rFonts w:ascii="Verdana" w:hAnsi="Verdana"/>
          <w:sz w:val="22"/>
          <w:szCs w:val="22"/>
          <w:highlight w:val="yellow"/>
        </w:rPr>
        <w:t xml:space="preserve">should be </w:t>
      </w:r>
      <w:r w:rsidR="004F2953" w:rsidRPr="009922DB">
        <w:rPr>
          <w:rFonts w:ascii="Verdana" w:hAnsi="Verdana"/>
          <w:sz w:val="22"/>
          <w:szCs w:val="22"/>
          <w:highlight w:val="yellow"/>
        </w:rPr>
        <w:t xml:space="preserve">listed as part of this process, whether or not they are presented to the client </w:t>
      </w:r>
    </w:p>
    <w:p w14:paraId="373AF4CA" w14:textId="6BCDB2A9" w:rsidR="000A0E8F" w:rsidRPr="009922DB" w:rsidRDefault="000A0E8F" w:rsidP="00432C2F">
      <w:pPr>
        <w:ind w:left="720"/>
        <w:jc w:val="both"/>
        <w:rPr>
          <w:rFonts w:ascii="Verdana" w:hAnsi="Verdana"/>
          <w:sz w:val="22"/>
          <w:szCs w:val="22"/>
          <w:highlight w:val="yellow"/>
        </w:rPr>
      </w:pPr>
    </w:p>
    <w:p w14:paraId="4E1AF6F4" w14:textId="5A46C310" w:rsidR="00424653" w:rsidRDefault="000A0E8F" w:rsidP="00432C2F">
      <w:pPr>
        <w:ind w:left="720"/>
        <w:jc w:val="both"/>
        <w:rPr>
          <w:rFonts w:ascii="Verdana" w:hAnsi="Verdana"/>
          <w:sz w:val="22"/>
          <w:szCs w:val="22"/>
        </w:rPr>
      </w:pPr>
      <w:r w:rsidRPr="009922DB">
        <w:rPr>
          <w:rFonts w:ascii="Verdana" w:hAnsi="Verdana"/>
          <w:sz w:val="22"/>
          <w:szCs w:val="22"/>
          <w:highlight w:val="yellow"/>
        </w:rPr>
        <w:t xml:space="preserve">The </w:t>
      </w:r>
      <w:r w:rsidRPr="009922DB">
        <w:rPr>
          <w:rFonts w:ascii="Verdana" w:hAnsi="Verdana"/>
          <w:b/>
          <w:bCs/>
          <w:sz w:val="22"/>
          <w:szCs w:val="22"/>
          <w:highlight w:val="yellow"/>
        </w:rPr>
        <w:t>Securities Purchase Form</w:t>
      </w:r>
      <w:r w:rsidRPr="009922DB">
        <w:rPr>
          <w:rFonts w:ascii="Verdana" w:hAnsi="Verdana"/>
          <w:sz w:val="22"/>
          <w:szCs w:val="22"/>
          <w:highlight w:val="yellow"/>
        </w:rPr>
        <w:t xml:space="preserve"> should be used to document </w:t>
      </w:r>
      <w:r w:rsidR="009922DB" w:rsidRPr="009922DB">
        <w:rPr>
          <w:rFonts w:ascii="Verdana" w:hAnsi="Verdana"/>
          <w:sz w:val="22"/>
          <w:szCs w:val="22"/>
          <w:highlight w:val="yellow"/>
        </w:rPr>
        <w:t xml:space="preserve">features of </w:t>
      </w:r>
      <w:r w:rsidRPr="009922DB">
        <w:rPr>
          <w:rFonts w:ascii="Verdana" w:hAnsi="Verdana"/>
          <w:sz w:val="22"/>
          <w:szCs w:val="22"/>
          <w:highlight w:val="yellow"/>
        </w:rPr>
        <w:t xml:space="preserve">the </w:t>
      </w:r>
      <w:r w:rsidR="009D6939">
        <w:rPr>
          <w:rFonts w:ascii="Verdana" w:hAnsi="Verdana"/>
          <w:sz w:val="22"/>
          <w:szCs w:val="22"/>
          <w:highlight w:val="yellow"/>
        </w:rPr>
        <w:t xml:space="preserve">accepted </w:t>
      </w:r>
      <w:r w:rsidRPr="009922DB">
        <w:rPr>
          <w:rFonts w:ascii="Verdana" w:hAnsi="Verdana"/>
          <w:sz w:val="22"/>
          <w:szCs w:val="22"/>
          <w:highlight w:val="yellow"/>
        </w:rPr>
        <w:t>recommendation(s)</w:t>
      </w:r>
      <w:r w:rsidR="009922DB" w:rsidRPr="009922DB">
        <w:rPr>
          <w:rFonts w:ascii="Verdana" w:hAnsi="Verdana"/>
          <w:sz w:val="22"/>
          <w:szCs w:val="22"/>
          <w:highlight w:val="yellow"/>
        </w:rPr>
        <w:t xml:space="preserve"> and how the product(s) best fit the client’s goals and objectives.  </w:t>
      </w:r>
      <w:r w:rsidRPr="009922DB">
        <w:rPr>
          <w:rFonts w:ascii="Verdana" w:hAnsi="Verdana"/>
          <w:sz w:val="22"/>
          <w:szCs w:val="22"/>
          <w:highlight w:val="yellow"/>
        </w:rPr>
        <w:t xml:space="preserve"> </w:t>
      </w:r>
      <w:r w:rsidR="009922DB" w:rsidRPr="009922DB">
        <w:rPr>
          <w:rFonts w:ascii="Verdana" w:hAnsi="Verdana"/>
          <w:sz w:val="22"/>
          <w:szCs w:val="22"/>
          <w:highlight w:val="yellow"/>
        </w:rPr>
        <w:t xml:space="preserve">How does </w:t>
      </w:r>
      <w:r w:rsidR="009922DB" w:rsidRPr="009922DB">
        <w:rPr>
          <w:rFonts w:ascii="Verdana" w:hAnsi="Verdana"/>
          <w:b/>
          <w:bCs/>
          <w:sz w:val="22"/>
          <w:szCs w:val="22"/>
          <w:highlight w:val="yellow"/>
        </w:rPr>
        <w:t>THIS</w:t>
      </w:r>
      <w:r w:rsidR="009922DB" w:rsidRPr="009922DB">
        <w:rPr>
          <w:rFonts w:ascii="Verdana" w:hAnsi="Verdana"/>
          <w:sz w:val="22"/>
          <w:szCs w:val="22"/>
          <w:highlight w:val="yellow"/>
        </w:rPr>
        <w:t xml:space="preserve"> investment meet the client’s goals and objectives? How does </w:t>
      </w:r>
      <w:r w:rsidR="009922DB" w:rsidRPr="009922DB">
        <w:rPr>
          <w:rFonts w:ascii="Verdana" w:hAnsi="Verdana"/>
          <w:b/>
          <w:bCs/>
          <w:sz w:val="22"/>
          <w:szCs w:val="22"/>
          <w:highlight w:val="yellow"/>
        </w:rPr>
        <w:t>THIS</w:t>
      </w:r>
      <w:r w:rsidR="009922DB" w:rsidRPr="009922DB">
        <w:rPr>
          <w:rFonts w:ascii="Verdana" w:hAnsi="Verdana"/>
          <w:sz w:val="22"/>
          <w:szCs w:val="22"/>
          <w:highlight w:val="yellow"/>
        </w:rPr>
        <w:t xml:space="preserve"> investment  better meet the client’s goals and objectives than other products that were presented</w:t>
      </w:r>
      <w:r w:rsidR="009922DB" w:rsidRPr="00424653">
        <w:rPr>
          <w:rFonts w:ascii="Verdana" w:hAnsi="Verdana"/>
          <w:sz w:val="22"/>
          <w:szCs w:val="22"/>
          <w:highlight w:val="yellow"/>
        </w:rPr>
        <w:t>?</w:t>
      </w:r>
      <w:r w:rsidR="00424653" w:rsidRPr="00424653">
        <w:rPr>
          <w:rFonts w:ascii="Verdana" w:hAnsi="Verdana"/>
          <w:sz w:val="22"/>
          <w:szCs w:val="22"/>
          <w:highlight w:val="yellow"/>
        </w:rPr>
        <w:t xml:space="preserve"> Tell this client’s story and the specific needs that the recommendation was intended to address with as much detail as possible.</w:t>
      </w:r>
    </w:p>
    <w:p w14:paraId="67B62E54" w14:textId="77777777" w:rsidR="00424653" w:rsidRDefault="00424653" w:rsidP="00432C2F">
      <w:pPr>
        <w:ind w:left="720"/>
        <w:jc w:val="both"/>
        <w:rPr>
          <w:rFonts w:ascii="Verdana" w:hAnsi="Verdana"/>
          <w:sz w:val="22"/>
          <w:szCs w:val="22"/>
        </w:rPr>
      </w:pPr>
    </w:p>
    <w:p w14:paraId="1880925F" w14:textId="705DF070" w:rsidR="00424653" w:rsidRDefault="00424653" w:rsidP="00432C2F">
      <w:pPr>
        <w:ind w:left="720"/>
        <w:jc w:val="both"/>
        <w:rPr>
          <w:rFonts w:ascii="Verdana" w:hAnsi="Verdana"/>
          <w:sz w:val="22"/>
          <w:szCs w:val="22"/>
        </w:rPr>
      </w:pPr>
      <w:r w:rsidRPr="00D25F1A">
        <w:rPr>
          <w:rFonts w:ascii="Verdana" w:hAnsi="Verdana"/>
          <w:sz w:val="22"/>
          <w:szCs w:val="22"/>
          <w:highlight w:val="yellow"/>
        </w:rPr>
        <w:t>Each client is unique. Adding details to the comment boxes on both forms provides valuable support if necessary to defend the recommendation to someone who does not know you or your client</w:t>
      </w:r>
      <w:r w:rsidR="00D25F1A" w:rsidRPr="00D25F1A">
        <w:rPr>
          <w:rFonts w:ascii="Verdana" w:hAnsi="Verdana"/>
          <w:sz w:val="22"/>
          <w:szCs w:val="22"/>
          <w:highlight w:val="yellow"/>
        </w:rPr>
        <w:t>, such as in</w:t>
      </w:r>
      <w:r w:rsidRPr="00D25F1A">
        <w:rPr>
          <w:rFonts w:ascii="Verdana" w:hAnsi="Verdana"/>
          <w:sz w:val="22"/>
          <w:szCs w:val="22"/>
          <w:highlight w:val="yellow"/>
        </w:rPr>
        <w:t xml:space="preserve"> a regulatory or complaint situation.</w:t>
      </w:r>
      <w:r>
        <w:rPr>
          <w:rFonts w:ascii="Verdana" w:hAnsi="Verdana"/>
          <w:sz w:val="22"/>
          <w:szCs w:val="22"/>
        </w:rPr>
        <w:t xml:space="preserve">  </w:t>
      </w:r>
    </w:p>
    <w:p w14:paraId="37CE13FB" w14:textId="77777777" w:rsidR="00432C2F" w:rsidRDefault="00432C2F" w:rsidP="00432C2F">
      <w:pPr>
        <w:ind w:left="720"/>
        <w:jc w:val="both"/>
        <w:rPr>
          <w:rFonts w:ascii="Verdana" w:hAnsi="Verdana"/>
          <w:sz w:val="22"/>
          <w:szCs w:val="22"/>
        </w:rPr>
      </w:pPr>
    </w:p>
    <w:bookmarkEnd w:id="3"/>
    <w:p w14:paraId="2386DB2F" w14:textId="2D23502A" w:rsidR="00AE2272" w:rsidRPr="00432C2F" w:rsidRDefault="00AE2272" w:rsidP="00F319D7">
      <w:pPr>
        <w:tabs>
          <w:tab w:val="left" w:pos="90"/>
        </w:tabs>
        <w:jc w:val="both"/>
        <w:rPr>
          <w:rFonts w:ascii="Verdana" w:hAnsi="Verdana"/>
          <w:b/>
          <w:bCs/>
          <w:color w:val="31849B" w:themeColor="accent5" w:themeShade="BF"/>
          <w:sz w:val="22"/>
          <w:szCs w:val="22"/>
        </w:rPr>
      </w:pPr>
    </w:p>
    <w:p w14:paraId="5A995372" w14:textId="47232AEF" w:rsidR="00452CD5" w:rsidRDefault="00452CD5" w:rsidP="00452CD5">
      <w:pPr>
        <w:tabs>
          <w:tab w:val="left" w:pos="90"/>
        </w:tabs>
        <w:jc w:val="both"/>
        <w:rPr>
          <w:rFonts w:ascii="Verdana" w:hAnsi="Verdana"/>
          <w:sz w:val="22"/>
          <w:szCs w:val="22"/>
        </w:rPr>
      </w:pPr>
    </w:p>
    <w:p w14:paraId="2B32E998" w14:textId="165A0F1F" w:rsidR="00452CD5" w:rsidRDefault="00452CD5" w:rsidP="00452CD5">
      <w:pPr>
        <w:tabs>
          <w:tab w:val="left" w:pos="90"/>
        </w:tabs>
        <w:jc w:val="both"/>
        <w:rPr>
          <w:rFonts w:ascii="Verdana" w:hAnsi="Verdana"/>
          <w:b/>
          <w:bCs/>
          <w:sz w:val="22"/>
          <w:szCs w:val="22"/>
          <w:u w:val="single"/>
        </w:rPr>
      </w:pPr>
      <w:r w:rsidRPr="00452CD5">
        <w:rPr>
          <w:rFonts w:ascii="Verdana" w:hAnsi="Verdana"/>
          <w:b/>
          <w:bCs/>
          <w:sz w:val="22"/>
          <w:szCs w:val="22"/>
          <w:u w:val="single"/>
        </w:rPr>
        <w:t>Advisory Scenarios</w:t>
      </w:r>
    </w:p>
    <w:p w14:paraId="1802DE3F" w14:textId="77777777" w:rsidR="00430660" w:rsidRDefault="00430660" w:rsidP="00452CD5">
      <w:pPr>
        <w:tabs>
          <w:tab w:val="left" w:pos="90"/>
        </w:tabs>
        <w:jc w:val="both"/>
        <w:rPr>
          <w:rFonts w:ascii="Verdana" w:hAnsi="Verdana"/>
          <w:b/>
          <w:bCs/>
          <w:sz w:val="22"/>
          <w:szCs w:val="22"/>
          <w:u w:val="single"/>
        </w:rPr>
      </w:pPr>
    </w:p>
    <w:p w14:paraId="05400163" w14:textId="0381DF8D" w:rsidR="00452CD5" w:rsidRDefault="00452CD5" w:rsidP="00452CD5">
      <w:pPr>
        <w:tabs>
          <w:tab w:val="left" w:pos="90"/>
        </w:tabs>
        <w:jc w:val="both"/>
        <w:rPr>
          <w:rFonts w:ascii="Verdana" w:hAnsi="Verdana"/>
          <w:sz w:val="22"/>
          <w:szCs w:val="22"/>
        </w:rPr>
      </w:pPr>
    </w:p>
    <w:p w14:paraId="7FF4DAA7" w14:textId="77777777" w:rsidR="00452CD5" w:rsidRPr="000B0D3C" w:rsidRDefault="00452CD5" w:rsidP="0049794D">
      <w:pPr>
        <w:pStyle w:val="ListParagraph"/>
        <w:numPr>
          <w:ilvl w:val="0"/>
          <w:numId w:val="4"/>
        </w:numPr>
        <w:jc w:val="both"/>
        <w:rPr>
          <w:rFonts w:ascii="Verdana" w:hAnsi="Verdana"/>
          <w:b/>
          <w:bCs/>
          <w:color w:val="365F91" w:themeColor="accent1" w:themeShade="BF"/>
        </w:rPr>
      </w:pPr>
      <w:r w:rsidRPr="000B0D3C">
        <w:rPr>
          <w:rFonts w:ascii="Verdana" w:hAnsi="Verdana"/>
          <w:b/>
          <w:bCs/>
          <w:color w:val="365F91" w:themeColor="accent1" w:themeShade="BF"/>
        </w:rPr>
        <w:t xml:space="preserve">If I am </w:t>
      </w:r>
      <w:r w:rsidRPr="00432C2F">
        <w:rPr>
          <w:rFonts w:ascii="Verdana" w:hAnsi="Verdana"/>
          <w:b/>
          <w:bCs/>
          <w:color w:val="215868" w:themeColor="accent5" w:themeShade="80"/>
        </w:rPr>
        <w:t>affiliated</w:t>
      </w:r>
      <w:r w:rsidRPr="000B0D3C">
        <w:rPr>
          <w:rFonts w:ascii="Verdana" w:hAnsi="Verdana"/>
          <w:b/>
          <w:bCs/>
          <w:color w:val="365F91" w:themeColor="accent1" w:themeShade="BF"/>
        </w:rPr>
        <w:t xml:space="preserve"> with both Private Client Services and an outside RIA, do I have to provide a retail customer with both PCS’ Form CRS and my RIA’s Form ADV Part 3?</w:t>
      </w:r>
    </w:p>
    <w:p w14:paraId="6F753126" w14:textId="6D93FA50" w:rsidR="00452CD5" w:rsidRDefault="00452CD5" w:rsidP="00452CD5">
      <w:pPr>
        <w:ind w:left="720"/>
        <w:jc w:val="both"/>
        <w:rPr>
          <w:rFonts w:ascii="Verdana" w:hAnsi="Verdana"/>
          <w:sz w:val="22"/>
          <w:szCs w:val="22"/>
        </w:rPr>
      </w:pPr>
      <w:r>
        <w:rPr>
          <w:rFonts w:ascii="Verdana" w:hAnsi="Verdana"/>
          <w:sz w:val="22"/>
          <w:szCs w:val="22"/>
        </w:rPr>
        <w:t xml:space="preserve">Yes, if you are a registered representative of PCS’ broker dealer and an investment advisory representative of an unaffiliated RIA, you must provide both documents to potential clients.  </w:t>
      </w:r>
    </w:p>
    <w:p w14:paraId="60F6C8BF" w14:textId="768020A0" w:rsidR="004440A0" w:rsidRDefault="004440A0" w:rsidP="004440A0">
      <w:pPr>
        <w:jc w:val="both"/>
        <w:rPr>
          <w:rFonts w:ascii="Verdana" w:hAnsi="Verdana"/>
          <w:sz w:val="22"/>
          <w:szCs w:val="22"/>
        </w:rPr>
      </w:pPr>
    </w:p>
    <w:p w14:paraId="659FE831" w14:textId="77777777" w:rsidR="004440A0" w:rsidRPr="00025FD1" w:rsidRDefault="004440A0" w:rsidP="0049794D">
      <w:pPr>
        <w:pStyle w:val="ListParagraph"/>
        <w:numPr>
          <w:ilvl w:val="0"/>
          <w:numId w:val="4"/>
        </w:numPr>
        <w:tabs>
          <w:tab w:val="left" w:pos="90"/>
        </w:tabs>
        <w:jc w:val="both"/>
        <w:rPr>
          <w:rFonts w:ascii="Verdana" w:hAnsi="Verdana"/>
        </w:rPr>
      </w:pPr>
      <w:r w:rsidRPr="00025FD1">
        <w:rPr>
          <w:rFonts w:ascii="Verdana" w:hAnsi="Verdana"/>
          <w:b/>
          <w:bCs/>
          <w:color w:val="17365D" w:themeColor="text2" w:themeShade="BF"/>
        </w:rPr>
        <w:t>If I’m registered with my own RIA as an investment advisor rep and with PCS as a registered representative, when I meet with a client, do I provide them with PCS’ Form CRS or with the CRS of my RIA?</w:t>
      </w:r>
    </w:p>
    <w:p w14:paraId="2C7080C7" w14:textId="6CFADB47" w:rsidR="004440A0" w:rsidRDefault="004440A0" w:rsidP="004440A0">
      <w:pPr>
        <w:tabs>
          <w:tab w:val="left" w:pos="90"/>
          <w:tab w:val="left" w:pos="720"/>
        </w:tabs>
        <w:ind w:left="720"/>
        <w:jc w:val="both"/>
        <w:rPr>
          <w:rFonts w:ascii="Verdana" w:hAnsi="Verdana"/>
          <w:sz w:val="22"/>
          <w:szCs w:val="22"/>
        </w:rPr>
      </w:pPr>
      <w:r w:rsidRPr="00025FD1">
        <w:rPr>
          <w:rFonts w:ascii="Verdana" w:hAnsi="Verdana"/>
          <w:sz w:val="22"/>
          <w:szCs w:val="22"/>
        </w:rPr>
        <w:t>Any dually-registered financial professional is required to provide copies of both forms since he or she is offering account services with both firms.</w:t>
      </w:r>
    </w:p>
    <w:p w14:paraId="076AD76A" w14:textId="28D6ACF0" w:rsidR="00452CD5" w:rsidRDefault="00452CD5" w:rsidP="00452CD5">
      <w:pPr>
        <w:jc w:val="both"/>
        <w:rPr>
          <w:rFonts w:ascii="Verdana" w:hAnsi="Verdana"/>
          <w:sz w:val="22"/>
          <w:szCs w:val="22"/>
        </w:rPr>
      </w:pPr>
    </w:p>
    <w:p w14:paraId="1C3938A4" w14:textId="77777777" w:rsidR="00452CD5" w:rsidRPr="00025FD1" w:rsidRDefault="00452CD5" w:rsidP="0049794D">
      <w:pPr>
        <w:pStyle w:val="ListParagraph"/>
        <w:numPr>
          <w:ilvl w:val="0"/>
          <w:numId w:val="4"/>
        </w:numPr>
        <w:tabs>
          <w:tab w:val="left" w:pos="90"/>
          <w:tab w:val="left" w:pos="720"/>
        </w:tabs>
        <w:jc w:val="both"/>
        <w:rPr>
          <w:rFonts w:ascii="Verdana" w:hAnsi="Verdana"/>
        </w:rPr>
      </w:pPr>
      <w:r w:rsidRPr="00025FD1">
        <w:rPr>
          <w:rFonts w:ascii="Verdana" w:hAnsi="Verdana"/>
          <w:b/>
          <w:bCs/>
          <w:color w:val="17365D" w:themeColor="text2" w:themeShade="BF"/>
        </w:rPr>
        <w:t>I’m a dually-registered financial professional. I met with a new client and provided both PCS’ Form CRS and my RIA’s ADV Part 3. The client decided on advisory services; do I still have to provide PCS’ Regulation BI Disclosure?</w:t>
      </w:r>
    </w:p>
    <w:p w14:paraId="4EB54C34" w14:textId="6EBB1A74" w:rsidR="00452CD5" w:rsidRDefault="00452CD5" w:rsidP="004440A0">
      <w:pPr>
        <w:tabs>
          <w:tab w:val="left" w:pos="90"/>
          <w:tab w:val="left" w:pos="720"/>
        </w:tabs>
        <w:ind w:left="720"/>
        <w:jc w:val="both"/>
        <w:rPr>
          <w:rFonts w:ascii="Verdana" w:hAnsi="Verdana"/>
          <w:sz w:val="22"/>
          <w:szCs w:val="22"/>
        </w:rPr>
      </w:pPr>
      <w:r w:rsidRPr="00025FD1">
        <w:rPr>
          <w:rFonts w:ascii="Verdana" w:hAnsi="Verdana"/>
          <w:sz w:val="22"/>
          <w:szCs w:val="22"/>
        </w:rPr>
        <w:t>While a new client must be provided with both Form CRS documents, the PCS Regulation BI Disclosure is only required if the client opens an account through PCS on the broker dealer side.</w:t>
      </w:r>
    </w:p>
    <w:p w14:paraId="34E30D0F" w14:textId="77777777" w:rsidR="00452CD5" w:rsidRPr="00CB4313" w:rsidRDefault="00452CD5" w:rsidP="00452CD5">
      <w:pPr>
        <w:jc w:val="both"/>
        <w:rPr>
          <w:rFonts w:ascii="Verdana" w:hAnsi="Verdana"/>
          <w:sz w:val="22"/>
          <w:szCs w:val="22"/>
        </w:rPr>
      </w:pPr>
    </w:p>
    <w:p w14:paraId="23F3309C" w14:textId="77777777" w:rsidR="00452CD5" w:rsidRPr="00025FD1" w:rsidRDefault="00452CD5" w:rsidP="0049794D">
      <w:pPr>
        <w:pStyle w:val="ListParagraph"/>
        <w:numPr>
          <w:ilvl w:val="0"/>
          <w:numId w:val="4"/>
        </w:numPr>
        <w:tabs>
          <w:tab w:val="left" w:pos="90"/>
        </w:tabs>
        <w:jc w:val="both"/>
        <w:rPr>
          <w:rFonts w:ascii="Verdana" w:hAnsi="Verdana"/>
        </w:rPr>
      </w:pPr>
      <w:r w:rsidRPr="00025FD1">
        <w:rPr>
          <w:rFonts w:ascii="Verdana" w:hAnsi="Verdana"/>
          <w:b/>
          <w:bCs/>
          <w:color w:val="17365D" w:themeColor="text2" w:themeShade="BF"/>
        </w:rPr>
        <w:t>I am a dually-registered financial professional. I met with one of my advisory-only clients, and during the meeting recommended he open a new advisory account. Do I need to provide PCS’ Form CRS to this client?</w:t>
      </w:r>
    </w:p>
    <w:p w14:paraId="439CA890" w14:textId="77777777" w:rsidR="00452CD5" w:rsidRPr="00025FD1" w:rsidRDefault="00452CD5" w:rsidP="00452CD5">
      <w:pPr>
        <w:tabs>
          <w:tab w:val="left" w:pos="90"/>
        </w:tabs>
        <w:ind w:left="720"/>
        <w:jc w:val="both"/>
        <w:rPr>
          <w:rFonts w:ascii="Verdana" w:hAnsi="Verdana"/>
          <w:sz w:val="22"/>
          <w:szCs w:val="22"/>
        </w:rPr>
      </w:pPr>
      <w:r w:rsidRPr="00025FD1">
        <w:rPr>
          <w:rFonts w:ascii="Verdana" w:hAnsi="Verdana"/>
          <w:sz w:val="22"/>
          <w:szCs w:val="22"/>
        </w:rPr>
        <w:t xml:space="preserve">Since a recommendation was made, the client is required to receive both PCS’ Form CRS and the ADV Part 3 of the RIA. It is the recommendation that triggers Regulation Best Interest and the requirement for PCS’ Form CRS. If there is no recommendation, then Regulation Best Interest does not apply. </w:t>
      </w:r>
    </w:p>
    <w:p w14:paraId="6BFB789F" w14:textId="77777777" w:rsidR="00452CD5" w:rsidRPr="00025FD1" w:rsidRDefault="00452CD5" w:rsidP="00452CD5">
      <w:pPr>
        <w:tabs>
          <w:tab w:val="left" w:pos="90"/>
        </w:tabs>
        <w:ind w:left="720"/>
        <w:jc w:val="both"/>
        <w:rPr>
          <w:rFonts w:ascii="Verdana" w:hAnsi="Verdana"/>
          <w:sz w:val="22"/>
          <w:szCs w:val="22"/>
        </w:rPr>
      </w:pPr>
    </w:p>
    <w:p w14:paraId="294F6393" w14:textId="77777777" w:rsidR="00452CD5" w:rsidRPr="00025FD1" w:rsidRDefault="00452CD5" w:rsidP="00452CD5">
      <w:pPr>
        <w:tabs>
          <w:tab w:val="left" w:pos="90"/>
        </w:tabs>
        <w:ind w:left="720"/>
        <w:jc w:val="both"/>
        <w:rPr>
          <w:rFonts w:ascii="Verdana" w:hAnsi="Verdana"/>
          <w:sz w:val="22"/>
          <w:szCs w:val="22"/>
        </w:rPr>
      </w:pPr>
      <w:r w:rsidRPr="00025FD1">
        <w:rPr>
          <w:rFonts w:ascii="Verdana" w:hAnsi="Verdana"/>
          <w:sz w:val="22"/>
          <w:szCs w:val="22"/>
        </w:rPr>
        <w:t>The current interpretation by FINRA and the SEC is that since a dually-registered person offered accounts through both firms, both CRS documents need to be provided.</w:t>
      </w:r>
    </w:p>
    <w:p w14:paraId="2869DA9F" w14:textId="051C450E" w:rsidR="00452CD5" w:rsidRDefault="00452CD5" w:rsidP="00452CD5">
      <w:pPr>
        <w:tabs>
          <w:tab w:val="left" w:pos="90"/>
        </w:tabs>
        <w:jc w:val="both"/>
        <w:rPr>
          <w:rFonts w:ascii="Verdana" w:hAnsi="Verdana"/>
          <w:sz w:val="22"/>
          <w:szCs w:val="22"/>
        </w:rPr>
      </w:pPr>
    </w:p>
    <w:p w14:paraId="2891CA88" w14:textId="7C138FD4" w:rsidR="00430660" w:rsidRDefault="00430660" w:rsidP="00452CD5">
      <w:pPr>
        <w:tabs>
          <w:tab w:val="left" w:pos="90"/>
        </w:tabs>
        <w:jc w:val="both"/>
        <w:rPr>
          <w:rFonts w:ascii="Verdana" w:hAnsi="Verdana"/>
          <w:sz w:val="22"/>
          <w:szCs w:val="22"/>
        </w:rPr>
      </w:pPr>
    </w:p>
    <w:p w14:paraId="1581C2B6" w14:textId="2E177BFC" w:rsidR="00430660" w:rsidRDefault="00430660" w:rsidP="00452CD5">
      <w:pPr>
        <w:tabs>
          <w:tab w:val="left" w:pos="90"/>
        </w:tabs>
        <w:jc w:val="both"/>
        <w:rPr>
          <w:rFonts w:ascii="Verdana" w:hAnsi="Verdana"/>
          <w:sz w:val="22"/>
          <w:szCs w:val="22"/>
        </w:rPr>
      </w:pPr>
    </w:p>
    <w:p w14:paraId="55FC5168" w14:textId="4BCBDAF9" w:rsidR="00430660" w:rsidRDefault="00430660" w:rsidP="00452CD5">
      <w:pPr>
        <w:tabs>
          <w:tab w:val="left" w:pos="90"/>
        </w:tabs>
        <w:jc w:val="both"/>
        <w:rPr>
          <w:rFonts w:ascii="Verdana" w:hAnsi="Verdana"/>
          <w:sz w:val="22"/>
          <w:szCs w:val="22"/>
        </w:rPr>
      </w:pPr>
    </w:p>
    <w:p w14:paraId="669C5447" w14:textId="77777777" w:rsidR="00430660" w:rsidRDefault="00430660" w:rsidP="00452CD5">
      <w:pPr>
        <w:tabs>
          <w:tab w:val="left" w:pos="90"/>
        </w:tabs>
        <w:jc w:val="both"/>
        <w:rPr>
          <w:rFonts w:ascii="Verdana" w:hAnsi="Verdana"/>
          <w:sz w:val="22"/>
          <w:szCs w:val="22"/>
        </w:rPr>
      </w:pPr>
    </w:p>
    <w:p w14:paraId="383161E2" w14:textId="77777777" w:rsidR="004440A0" w:rsidRPr="00025FD1" w:rsidRDefault="004440A0" w:rsidP="0049794D">
      <w:pPr>
        <w:pStyle w:val="ListParagraph"/>
        <w:numPr>
          <w:ilvl w:val="0"/>
          <w:numId w:val="4"/>
        </w:numPr>
        <w:tabs>
          <w:tab w:val="left" w:pos="90"/>
        </w:tabs>
        <w:jc w:val="both"/>
        <w:rPr>
          <w:rFonts w:ascii="Verdana" w:hAnsi="Verdana"/>
        </w:rPr>
      </w:pPr>
      <w:r w:rsidRPr="00025FD1">
        <w:rPr>
          <w:rFonts w:ascii="Verdana" w:hAnsi="Verdana"/>
          <w:b/>
          <w:bCs/>
          <w:color w:val="17365D" w:themeColor="text2" w:themeShade="BF"/>
        </w:rPr>
        <w:t>Does my RIA need to post PCS’ Form CRS on our website?</w:t>
      </w:r>
    </w:p>
    <w:p w14:paraId="5984EAE6" w14:textId="4FBB3187" w:rsidR="004440A0" w:rsidRDefault="004440A0" w:rsidP="004440A0">
      <w:pPr>
        <w:tabs>
          <w:tab w:val="left" w:pos="90"/>
        </w:tabs>
        <w:ind w:left="720"/>
        <w:jc w:val="both"/>
        <w:rPr>
          <w:rFonts w:ascii="Verdana" w:hAnsi="Verdana"/>
          <w:sz w:val="22"/>
          <w:szCs w:val="22"/>
        </w:rPr>
      </w:pPr>
      <w:r w:rsidRPr="00025FD1">
        <w:rPr>
          <w:rFonts w:ascii="Verdana" w:hAnsi="Verdana"/>
          <w:sz w:val="22"/>
          <w:szCs w:val="22"/>
        </w:rPr>
        <w:t xml:space="preserve">There is no requirement for an RIA to post the PCS Client Relationship Summary document on their website. PCS’ Compliance Department recommends a link to the </w:t>
      </w:r>
      <w:hyperlink r:id="rId16" w:history="1">
        <w:r w:rsidRPr="00025FD1">
          <w:rPr>
            <w:rStyle w:val="Hyperlink"/>
            <w:rFonts w:ascii="Verdana" w:hAnsi="Verdana"/>
            <w:sz w:val="22"/>
            <w:szCs w:val="22"/>
          </w:rPr>
          <w:t>www.pcsbd.net</w:t>
        </w:r>
      </w:hyperlink>
      <w:r w:rsidRPr="00025FD1">
        <w:rPr>
          <w:rFonts w:ascii="Verdana" w:hAnsi="Verdana"/>
          <w:sz w:val="22"/>
          <w:szCs w:val="22"/>
        </w:rPr>
        <w:t xml:space="preserve"> website if the RIA website discusses brokerage products or services.</w:t>
      </w:r>
      <w:r>
        <w:rPr>
          <w:rFonts w:ascii="Verdana" w:hAnsi="Verdana"/>
          <w:sz w:val="22"/>
          <w:szCs w:val="22"/>
        </w:rPr>
        <w:t xml:space="preserve"> </w:t>
      </w:r>
    </w:p>
    <w:p w14:paraId="24A06226" w14:textId="77777777" w:rsidR="005E775C" w:rsidRDefault="005E775C" w:rsidP="00864C8D">
      <w:pPr>
        <w:tabs>
          <w:tab w:val="left" w:pos="90"/>
        </w:tabs>
        <w:jc w:val="both"/>
        <w:rPr>
          <w:rFonts w:ascii="Verdana" w:hAnsi="Verdana"/>
          <w:sz w:val="22"/>
          <w:szCs w:val="22"/>
        </w:rPr>
      </w:pPr>
    </w:p>
    <w:p w14:paraId="5D7D1994" w14:textId="234B27D9" w:rsidR="008A721E" w:rsidRDefault="008A721E" w:rsidP="008A721E">
      <w:pPr>
        <w:tabs>
          <w:tab w:val="left" w:pos="90"/>
        </w:tabs>
        <w:jc w:val="both"/>
        <w:rPr>
          <w:rFonts w:ascii="Verdana" w:hAnsi="Verdana"/>
          <w:sz w:val="22"/>
          <w:szCs w:val="22"/>
        </w:rPr>
      </w:pPr>
    </w:p>
    <w:p w14:paraId="15446496" w14:textId="51896FAF" w:rsidR="008A721E" w:rsidRPr="00B95EC3" w:rsidRDefault="008A721E" w:rsidP="0049794D">
      <w:pPr>
        <w:pStyle w:val="ListParagraph"/>
        <w:numPr>
          <w:ilvl w:val="0"/>
          <w:numId w:val="4"/>
        </w:numPr>
        <w:tabs>
          <w:tab w:val="left" w:pos="90"/>
        </w:tabs>
        <w:jc w:val="both"/>
        <w:rPr>
          <w:rFonts w:ascii="Verdana" w:hAnsi="Verdana"/>
          <w:b/>
          <w:bCs/>
          <w:color w:val="365F91" w:themeColor="accent1" w:themeShade="BF"/>
        </w:rPr>
      </w:pPr>
      <w:r w:rsidRPr="00B95EC3">
        <w:rPr>
          <w:rFonts w:ascii="Verdana" w:hAnsi="Verdana"/>
          <w:b/>
          <w:bCs/>
          <w:color w:val="365F91" w:themeColor="accent1" w:themeShade="BF"/>
        </w:rPr>
        <w:t>Is the Recommendation Documentation Supplement required for all advisory accounts?</w:t>
      </w:r>
    </w:p>
    <w:p w14:paraId="41B7A935" w14:textId="77777777" w:rsidR="008A721E" w:rsidRPr="00B95EC3" w:rsidRDefault="008A721E" w:rsidP="008A721E">
      <w:pPr>
        <w:tabs>
          <w:tab w:val="left" w:pos="90"/>
        </w:tabs>
        <w:ind w:left="90"/>
        <w:jc w:val="both"/>
        <w:rPr>
          <w:rFonts w:ascii="Verdana" w:hAnsi="Verdana"/>
          <w:sz w:val="22"/>
          <w:szCs w:val="22"/>
        </w:rPr>
      </w:pPr>
      <w:r w:rsidRPr="00B95EC3">
        <w:rPr>
          <w:rFonts w:ascii="Verdana" w:hAnsi="Verdana"/>
        </w:rPr>
        <w:tab/>
      </w:r>
      <w:r w:rsidRPr="00B95EC3">
        <w:rPr>
          <w:rFonts w:ascii="Verdana" w:hAnsi="Verdana"/>
          <w:sz w:val="22"/>
          <w:szCs w:val="22"/>
        </w:rPr>
        <w:t>No, this document is required for PCS related business (i.e. Brokerage, Direct</w:t>
      </w:r>
    </w:p>
    <w:p w14:paraId="588C302E" w14:textId="4114E364" w:rsidR="00137389" w:rsidRPr="00B95EC3" w:rsidRDefault="008A721E" w:rsidP="00430660">
      <w:pPr>
        <w:tabs>
          <w:tab w:val="left" w:pos="90"/>
        </w:tabs>
        <w:ind w:left="90"/>
        <w:jc w:val="both"/>
        <w:rPr>
          <w:rFonts w:ascii="Verdana" w:hAnsi="Verdana"/>
          <w:sz w:val="22"/>
          <w:szCs w:val="22"/>
        </w:rPr>
      </w:pPr>
      <w:r w:rsidRPr="00B95EC3">
        <w:rPr>
          <w:rFonts w:ascii="Verdana" w:hAnsi="Verdana"/>
          <w:sz w:val="22"/>
          <w:szCs w:val="22"/>
        </w:rPr>
        <w:tab/>
        <w:t>or PCS Advisory), not outside independent RIA business.</w:t>
      </w:r>
    </w:p>
    <w:p w14:paraId="34BEAC00" w14:textId="77777777" w:rsidR="00137389" w:rsidRPr="00B95EC3" w:rsidRDefault="00137389" w:rsidP="005E775C">
      <w:pPr>
        <w:tabs>
          <w:tab w:val="left" w:pos="90"/>
        </w:tabs>
        <w:jc w:val="both"/>
        <w:rPr>
          <w:rFonts w:ascii="Verdana" w:hAnsi="Verdana"/>
          <w:sz w:val="22"/>
          <w:szCs w:val="22"/>
        </w:rPr>
      </w:pPr>
    </w:p>
    <w:p w14:paraId="60A2056A" w14:textId="42B6A9E5" w:rsidR="00137389" w:rsidRPr="00B95EC3" w:rsidRDefault="00137389" w:rsidP="008A721E">
      <w:pPr>
        <w:tabs>
          <w:tab w:val="left" w:pos="90"/>
        </w:tabs>
        <w:ind w:left="90"/>
        <w:jc w:val="both"/>
        <w:rPr>
          <w:rFonts w:ascii="Verdana" w:hAnsi="Verdana"/>
          <w:sz w:val="22"/>
          <w:szCs w:val="22"/>
        </w:rPr>
      </w:pPr>
    </w:p>
    <w:p w14:paraId="74A08FBA" w14:textId="7D247B06" w:rsidR="00137389" w:rsidRPr="00B95EC3" w:rsidRDefault="00137389" w:rsidP="0049794D">
      <w:pPr>
        <w:pStyle w:val="ListParagraph"/>
        <w:numPr>
          <w:ilvl w:val="0"/>
          <w:numId w:val="4"/>
        </w:numPr>
        <w:tabs>
          <w:tab w:val="left" w:pos="90"/>
        </w:tabs>
        <w:jc w:val="both"/>
        <w:rPr>
          <w:rFonts w:ascii="Verdana" w:hAnsi="Verdana"/>
          <w:b/>
          <w:bCs/>
          <w:color w:val="365F91" w:themeColor="accent1" w:themeShade="BF"/>
        </w:rPr>
      </w:pPr>
      <w:r w:rsidRPr="00B95EC3">
        <w:rPr>
          <w:rFonts w:ascii="Verdana" w:hAnsi="Verdana"/>
          <w:b/>
          <w:bCs/>
          <w:color w:val="365F91" w:themeColor="accent1" w:themeShade="BF"/>
        </w:rPr>
        <w:t>Do outside RIAs have to provide PCS’ Form CRS when sending their own separate Form CRS during the initial delivery phase if no investment or account recommendation has been made?</w:t>
      </w:r>
    </w:p>
    <w:p w14:paraId="332C9312" w14:textId="7A10D65A" w:rsidR="00137389" w:rsidRPr="00B95EC3" w:rsidRDefault="00137389" w:rsidP="00137389">
      <w:pPr>
        <w:pStyle w:val="ListParagraph"/>
        <w:tabs>
          <w:tab w:val="left" w:pos="90"/>
        </w:tabs>
        <w:ind w:left="450"/>
        <w:jc w:val="both"/>
        <w:rPr>
          <w:rFonts w:ascii="Verdana" w:hAnsi="Verdana"/>
        </w:rPr>
      </w:pPr>
    </w:p>
    <w:p w14:paraId="72FC3666" w14:textId="40C893B7" w:rsidR="00137389" w:rsidRPr="00B95EC3" w:rsidRDefault="00137389" w:rsidP="00137389">
      <w:pPr>
        <w:pStyle w:val="ListParagraph"/>
        <w:tabs>
          <w:tab w:val="left" w:pos="90"/>
        </w:tabs>
        <w:ind w:left="450"/>
        <w:jc w:val="both"/>
        <w:rPr>
          <w:rFonts w:ascii="Verdana" w:hAnsi="Verdana"/>
        </w:rPr>
      </w:pPr>
      <w:r w:rsidRPr="00B95EC3">
        <w:rPr>
          <w:rFonts w:ascii="Verdana" w:hAnsi="Verdana"/>
        </w:rPr>
        <w:t xml:space="preserve">No. PCS is already sending its own Form CRS via a mass mailing to all of its existing clients as of 6/29/2020, so there is no requirement to include PCS’ Form CRS in the initial delivery </w:t>
      </w:r>
      <w:r w:rsidRPr="00B95EC3">
        <w:rPr>
          <w:rFonts w:ascii="Verdana" w:hAnsi="Verdana"/>
          <w:b/>
          <w:bCs/>
        </w:rPr>
        <w:t>if no investment or account recommendation is made</w:t>
      </w:r>
      <w:r w:rsidRPr="00B95EC3">
        <w:rPr>
          <w:rFonts w:ascii="Verdana" w:hAnsi="Verdana"/>
        </w:rPr>
        <w:t xml:space="preserve">. </w:t>
      </w:r>
    </w:p>
    <w:p w14:paraId="69D7BC74" w14:textId="5769FE63" w:rsidR="004F61F2" w:rsidRPr="00B95EC3" w:rsidRDefault="004F61F2" w:rsidP="004F61F2">
      <w:pPr>
        <w:tabs>
          <w:tab w:val="left" w:pos="90"/>
        </w:tabs>
        <w:jc w:val="both"/>
        <w:rPr>
          <w:rFonts w:ascii="Verdana" w:hAnsi="Verdana"/>
        </w:rPr>
      </w:pPr>
    </w:p>
    <w:p w14:paraId="18510FCF" w14:textId="2C5A575E" w:rsidR="004F61F2" w:rsidRPr="00B95EC3" w:rsidRDefault="004F61F2" w:rsidP="0049794D">
      <w:pPr>
        <w:pStyle w:val="ListParagraph"/>
        <w:numPr>
          <w:ilvl w:val="0"/>
          <w:numId w:val="4"/>
        </w:numPr>
        <w:tabs>
          <w:tab w:val="left" w:pos="90"/>
        </w:tabs>
        <w:jc w:val="both"/>
        <w:rPr>
          <w:rFonts w:ascii="Verdana" w:hAnsi="Verdana"/>
          <w:b/>
          <w:bCs/>
          <w:color w:val="365F91" w:themeColor="accent1" w:themeShade="BF"/>
        </w:rPr>
      </w:pPr>
      <w:r w:rsidRPr="00B95EC3">
        <w:rPr>
          <w:rFonts w:ascii="Verdana" w:hAnsi="Verdana"/>
          <w:b/>
          <w:bCs/>
          <w:color w:val="365F91" w:themeColor="accent1" w:themeShade="BF"/>
        </w:rPr>
        <w:t>What forms are required in the following scenarios?</w:t>
      </w:r>
    </w:p>
    <w:p w14:paraId="20D68CCA" w14:textId="77777777" w:rsidR="00864C8D" w:rsidRPr="00B95EC3" w:rsidRDefault="00864C8D" w:rsidP="00864C8D">
      <w:pPr>
        <w:pStyle w:val="ListParagraph"/>
        <w:tabs>
          <w:tab w:val="left" w:pos="90"/>
        </w:tabs>
        <w:ind w:left="450"/>
        <w:jc w:val="both"/>
        <w:rPr>
          <w:rFonts w:ascii="Verdana" w:hAnsi="Verdana"/>
          <w:b/>
          <w:bCs/>
          <w:color w:val="365F91" w:themeColor="accent1" w:themeShade="BF"/>
        </w:rPr>
      </w:pPr>
    </w:p>
    <w:p w14:paraId="5EB0E5F4" w14:textId="714DCCEF" w:rsidR="004F61F2" w:rsidRPr="00B95EC3" w:rsidRDefault="004F61F2" w:rsidP="004F61F2">
      <w:pPr>
        <w:pStyle w:val="ListParagraph"/>
        <w:numPr>
          <w:ilvl w:val="0"/>
          <w:numId w:val="6"/>
        </w:numPr>
        <w:tabs>
          <w:tab w:val="left" w:pos="90"/>
        </w:tabs>
        <w:jc w:val="both"/>
        <w:rPr>
          <w:rFonts w:ascii="Verdana" w:hAnsi="Verdana"/>
          <w:b/>
          <w:bCs/>
        </w:rPr>
      </w:pPr>
      <w:r w:rsidRPr="00B95EC3">
        <w:rPr>
          <w:rFonts w:ascii="Verdana" w:hAnsi="Verdana"/>
        </w:rPr>
        <w:t xml:space="preserve">Existing client with only an outside RIA account meets with the advisor and receives a recommendation for advisory account or PCS retail or brokerage account, but does not move forward: </w:t>
      </w:r>
      <w:r w:rsidRPr="00B95EC3">
        <w:rPr>
          <w:rFonts w:ascii="Verdana" w:hAnsi="Verdana"/>
          <w:b/>
          <w:bCs/>
        </w:rPr>
        <w:t xml:space="preserve">Form CRS and Recommendation Documentation Supplement are required. </w:t>
      </w:r>
    </w:p>
    <w:p w14:paraId="50BBD965" w14:textId="5131043D" w:rsidR="004F61F2" w:rsidRPr="00B95EC3" w:rsidRDefault="004F61F2" w:rsidP="0085192E">
      <w:pPr>
        <w:tabs>
          <w:tab w:val="left" w:pos="90"/>
        </w:tabs>
        <w:ind w:left="714"/>
        <w:jc w:val="both"/>
        <w:rPr>
          <w:rFonts w:ascii="Verdana" w:hAnsi="Verdana"/>
          <w:b/>
          <w:bCs/>
        </w:rPr>
      </w:pPr>
    </w:p>
    <w:p w14:paraId="607C6B8E" w14:textId="34EBFF72" w:rsidR="0085192E" w:rsidRPr="00B95EC3" w:rsidRDefault="0085192E" w:rsidP="0085192E">
      <w:pPr>
        <w:pStyle w:val="ListParagraph"/>
        <w:numPr>
          <w:ilvl w:val="0"/>
          <w:numId w:val="6"/>
        </w:numPr>
        <w:tabs>
          <w:tab w:val="left" w:pos="90"/>
        </w:tabs>
        <w:jc w:val="both"/>
        <w:rPr>
          <w:rFonts w:ascii="Verdana" w:hAnsi="Verdana"/>
          <w:b/>
          <w:bCs/>
        </w:rPr>
      </w:pPr>
      <w:r w:rsidRPr="00B95EC3">
        <w:rPr>
          <w:rFonts w:ascii="Verdana" w:hAnsi="Verdana"/>
        </w:rPr>
        <w:t xml:space="preserve">New prospect with no existing accounts  does not move forward with recommendations:  </w:t>
      </w:r>
      <w:r w:rsidRPr="00B95EC3">
        <w:rPr>
          <w:rFonts w:ascii="Verdana" w:hAnsi="Verdana"/>
          <w:b/>
          <w:bCs/>
        </w:rPr>
        <w:t>Form CRS and Recommendation Documentation Supplement are required.</w:t>
      </w:r>
    </w:p>
    <w:p w14:paraId="7099D24D" w14:textId="77777777" w:rsidR="0085192E" w:rsidRPr="00B95EC3" w:rsidRDefault="0085192E" w:rsidP="0085192E">
      <w:pPr>
        <w:pStyle w:val="ListParagraph"/>
        <w:rPr>
          <w:rFonts w:ascii="Verdana" w:hAnsi="Verdana"/>
          <w:b/>
          <w:bCs/>
        </w:rPr>
      </w:pPr>
    </w:p>
    <w:p w14:paraId="5CB3964C" w14:textId="708A5D0A" w:rsidR="0085192E" w:rsidRPr="00B95EC3" w:rsidRDefault="0085192E" w:rsidP="0085192E">
      <w:pPr>
        <w:pStyle w:val="ListParagraph"/>
        <w:numPr>
          <w:ilvl w:val="0"/>
          <w:numId w:val="6"/>
        </w:numPr>
        <w:tabs>
          <w:tab w:val="left" w:pos="90"/>
        </w:tabs>
        <w:jc w:val="both"/>
        <w:rPr>
          <w:rFonts w:ascii="Verdana" w:hAnsi="Verdana"/>
          <w:b/>
          <w:bCs/>
        </w:rPr>
      </w:pPr>
      <w:r w:rsidRPr="00B95EC3">
        <w:rPr>
          <w:rFonts w:ascii="Verdana" w:hAnsi="Verdana"/>
        </w:rPr>
        <w:t xml:space="preserve">An existing PCS client moves forward with opening an advisory account: </w:t>
      </w:r>
      <w:r w:rsidRPr="00B95EC3">
        <w:rPr>
          <w:rFonts w:ascii="Verdana" w:hAnsi="Verdana"/>
          <w:b/>
          <w:bCs/>
        </w:rPr>
        <w:t>Form CRS, RIA ADV and new account forms.</w:t>
      </w:r>
    </w:p>
    <w:p w14:paraId="0D172ED0" w14:textId="77777777" w:rsidR="00864C8D" w:rsidRDefault="00864C8D" w:rsidP="005E775C">
      <w:pPr>
        <w:tabs>
          <w:tab w:val="left" w:pos="90"/>
        </w:tabs>
        <w:jc w:val="both"/>
        <w:rPr>
          <w:rFonts w:ascii="Verdana" w:hAnsi="Verdana"/>
          <w:sz w:val="22"/>
          <w:szCs w:val="22"/>
        </w:rPr>
      </w:pPr>
    </w:p>
    <w:p w14:paraId="7E0189D4" w14:textId="77777777" w:rsidR="00291CEE" w:rsidRDefault="00291CEE" w:rsidP="004440A0">
      <w:pPr>
        <w:tabs>
          <w:tab w:val="left" w:pos="90"/>
        </w:tabs>
        <w:ind w:left="720"/>
        <w:jc w:val="both"/>
        <w:rPr>
          <w:rFonts w:ascii="Verdana" w:hAnsi="Verdana"/>
          <w:sz w:val="22"/>
          <w:szCs w:val="22"/>
        </w:rPr>
      </w:pPr>
    </w:p>
    <w:p w14:paraId="52E625B4" w14:textId="47EDDD5B" w:rsidR="00F3744A" w:rsidRPr="00291CEE" w:rsidRDefault="00291CEE" w:rsidP="00291CEE">
      <w:pPr>
        <w:tabs>
          <w:tab w:val="left" w:pos="90"/>
        </w:tabs>
        <w:jc w:val="both"/>
        <w:rPr>
          <w:rFonts w:ascii="Verdana" w:hAnsi="Verdana"/>
          <w:b/>
          <w:bCs/>
          <w:sz w:val="22"/>
          <w:szCs w:val="22"/>
          <w:u w:val="single"/>
        </w:rPr>
      </w:pPr>
      <w:r w:rsidRPr="00291CEE">
        <w:rPr>
          <w:rFonts w:ascii="Verdana" w:hAnsi="Verdana"/>
          <w:b/>
          <w:bCs/>
          <w:sz w:val="22"/>
          <w:szCs w:val="22"/>
          <w:u w:val="single"/>
        </w:rPr>
        <w:t>Forms and Additional Resources</w:t>
      </w:r>
    </w:p>
    <w:p w14:paraId="3AB2001B" w14:textId="59BADA42" w:rsidR="00F3744A" w:rsidRDefault="00F3744A" w:rsidP="00291CEE">
      <w:pPr>
        <w:tabs>
          <w:tab w:val="left" w:pos="90"/>
        </w:tabs>
        <w:jc w:val="both"/>
        <w:rPr>
          <w:rFonts w:ascii="Verdana" w:hAnsi="Verdana"/>
          <w:sz w:val="22"/>
          <w:szCs w:val="22"/>
        </w:rPr>
      </w:pPr>
    </w:p>
    <w:p w14:paraId="7053F6A2" w14:textId="60298AD4" w:rsidR="00F3744A" w:rsidRDefault="00F3744A" w:rsidP="004440A0">
      <w:pPr>
        <w:tabs>
          <w:tab w:val="left" w:pos="90"/>
        </w:tabs>
        <w:ind w:left="720"/>
        <w:jc w:val="both"/>
        <w:rPr>
          <w:rFonts w:ascii="Verdana" w:hAnsi="Verdana"/>
          <w:sz w:val="22"/>
          <w:szCs w:val="22"/>
        </w:rPr>
      </w:pPr>
    </w:p>
    <w:p w14:paraId="504D1375" w14:textId="77777777" w:rsidR="00F3744A" w:rsidRPr="00025FD1" w:rsidRDefault="00F3744A" w:rsidP="0049794D">
      <w:pPr>
        <w:pStyle w:val="ListParagraph"/>
        <w:numPr>
          <w:ilvl w:val="0"/>
          <w:numId w:val="4"/>
        </w:numPr>
        <w:tabs>
          <w:tab w:val="left" w:pos="90"/>
        </w:tabs>
        <w:jc w:val="both"/>
        <w:rPr>
          <w:rFonts w:ascii="Verdana" w:hAnsi="Verdana"/>
          <w:b/>
          <w:bCs/>
          <w:color w:val="17365D" w:themeColor="text2" w:themeShade="BF"/>
        </w:rPr>
      </w:pPr>
      <w:r w:rsidRPr="00025FD1">
        <w:rPr>
          <w:rFonts w:ascii="Verdana" w:hAnsi="Verdana"/>
          <w:b/>
          <w:bCs/>
          <w:color w:val="17365D" w:themeColor="text2" w:themeShade="BF"/>
        </w:rPr>
        <w:t>Where can I find additional guidance on PCS’ policies and procedures for Reg BI?</w:t>
      </w:r>
    </w:p>
    <w:p w14:paraId="37F05EA0" w14:textId="77777777" w:rsidR="00F3744A" w:rsidRPr="00025FD1" w:rsidRDefault="00F3744A" w:rsidP="00F3744A">
      <w:pPr>
        <w:ind w:left="630"/>
        <w:jc w:val="both"/>
        <w:rPr>
          <w:rFonts w:ascii="Verdana" w:hAnsi="Verdana"/>
          <w:sz w:val="22"/>
          <w:szCs w:val="22"/>
        </w:rPr>
      </w:pPr>
      <w:r w:rsidRPr="00025FD1">
        <w:rPr>
          <w:rFonts w:ascii="Verdana" w:hAnsi="Verdana"/>
          <w:sz w:val="22"/>
          <w:szCs w:val="22"/>
        </w:rPr>
        <w:t>Additional guidance and information on PCS’ policies and procedures for Regulation Best Interest can be found in the Compliance Manual, pp.62 – 67.</w:t>
      </w:r>
    </w:p>
    <w:p w14:paraId="1595894E" w14:textId="24C13B3F" w:rsidR="00291CEE" w:rsidRDefault="00291CEE" w:rsidP="00291CEE">
      <w:pPr>
        <w:tabs>
          <w:tab w:val="left" w:pos="90"/>
        </w:tabs>
        <w:jc w:val="both"/>
        <w:rPr>
          <w:rFonts w:ascii="Verdana" w:hAnsi="Verdana"/>
          <w:sz w:val="22"/>
          <w:szCs w:val="22"/>
        </w:rPr>
      </w:pPr>
    </w:p>
    <w:p w14:paraId="7B484F99" w14:textId="77777777" w:rsidR="00F3744A" w:rsidRDefault="00F3744A" w:rsidP="005E775C">
      <w:pPr>
        <w:tabs>
          <w:tab w:val="left" w:pos="90"/>
        </w:tabs>
        <w:jc w:val="both"/>
        <w:rPr>
          <w:rFonts w:ascii="Verdana" w:hAnsi="Verdana"/>
          <w:sz w:val="22"/>
          <w:szCs w:val="22"/>
        </w:rPr>
      </w:pPr>
    </w:p>
    <w:p w14:paraId="474CB78C" w14:textId="77777777" w:rsidR="00291CEE" w:rsidRPr="00025FD1" w:rsidRDefault="00291CEE" w:rsidP="0049794D">
      <w:pPr>
        <w:pStyle w:val="ListParagraph"/>
        <w:numPr>
          <w:ilvl w:val="0"/>
          <w:numId w:val="4"/>
        </w:numPr>
        <w:tabs>
          <w:tab w:val="left" w:pos="90"/>
        </w:tabs>
        <w:jc w:val="both"/>
        <w:rPr>
          <w:rFonts w:ascii="Verdana" w:hAnsi="Verdana"/>
        </w:rPr>
      </w:pPr>
      <w:r w:rsidRPr="00025FD1">
        <w:rPr>
          <w:rFonts w:ascii="Verdana" w:hAnsi="Verdana"/>
          <w:b/>
          <w:bCs/>
          <w:color w:val="17365D" w:themeColor="text2" w:themeShade="BF"/>
        </w:rPr>
        <w:t>Where can I find a copy of the Form CRS and the Regulation Best Interest Disclosure?</w:t>
      </w:r>
    </w:p>
    <w:p w14:paraId="652A4A27" w14:textId="77777777" w:rsidR="00291CEE" w:rsidRPr="0022704C" w:rsidRDefault="00291CEE" w:rsidP="00291CEE">
      <w:pPr>
        <w:tabs>
          <w:tab w:val="left" w:pos="90"/>
        </w:tabs>
        <w:ind w:left="630"/>
        <w:jc w:val="both"/>
        <w:rPr>
          <w:rFonts w:ascii="Verdana" w:hAnsi="Verdana"/>
          <w:sz w:val="22"/>
          <w:szCs w:val="22"/>
        </w:rPr>
      </w:pPr>
      <w:r w:rsidRPr="00025FD1">
        <w:rPr>
          <w:rFonts w:ascii="Verdana" w:hAnsi="Verdana"/>
          <w:sz w:val="22"/>
          <w:szCs w:val="22"/>
        </w:rPr>
        <w:t xml:space="preserve">These documents have been added to the </w:t>
      </w:r>
      <w:hyperlink r:id="rId17" w:history="1">
        <w:r w:rsidRPr="00025FD1">
          <w:rPr>
            <w:rStyle w:val="Hyperlink"/>
            <w:rFonts w:ascii="Verdana" w:hAnsi="Verdana"/>
            <w:sz w:val="22"/>
            <w:szCs w:val="22"/>
          </w:rPr>
          <w:t>Customer Disclosures</w:t>
        </w:r>
      </w:hyperlink>
      <w:r w:rsidRPr="00025FD1">
        <w:rPr>
          <w:rFonts w:ascii="Verdana" w:hAnsi="Verdana"/>
          <w:sz w:val="22"/>
          <w:szCs w:val="22"/>
        </w:rPr>
        <w:t xml:space="preserve"> link at the bottom of the </w:t>
      </w:r>
      <w:hyperlink r:id="rId18" w:history="1">
        <w:r w:rsidRPr="00025FD1">
          <w:rPr>
            <w:rStyle w:val="Hyperlink"/>
            <w:rFonts w:ascii="Verdana" w:hAnsi="Verdana"/>
            <w:sz w:val="22"/>
            <w:szCs w:val="22"/>
          </w:rPr>
          <w:t>www.pcsbd.net</w:t>
        </w:r>
      </w:hyperlink>
      <w:r w:rsidRPr="00025FD1">
        <w:rPr>
          <w:rFonts w:ascii="Verdana" w:hAnsi="Verdana"/>
          <w:sz w:val="22"/>
          <w:szCs w:val="22"/>
        </w:rPr>
        <w:t xml:space="preserve">  homepage.</w:t>
      </w:r>
    </w:p>
    <w:p w14:paraId="3F499571" w14:textId="04F6F8CE" w:rsidR="00FC1389" w:rsidRDefault="00FC1389" w:rsidP="00452CD5">
      <w:pPr>
        <w:tabs>
          <w:tab w:val="left" w:pos="90"/>
        </w:tabs>
        <w:jc w:val="both"/>
        <w:rPr>
          <w:rFonts w:ascii="Verdana" w:hAnsi="Verdana"/>
          <w:sz w:val="22"/>
          <w:szCs w:val="22"/>
        </w:rPr>
      </w:pPr>
    </w:p>
    <w:p w14:paraId="11B3A7C4" w14:textId="77777777" w:rsidR="00FC1389" w:rsidRDefault="00FC1389" w:rsidP="00452CD5">
      <w:pPr>
        <w:tabs>
          <w:tab w:val="left" w:pos="90"/>
        </w:tabs>
        <w:jc w:val="both"/>
        <w:rPr>
          <w:rFonts w:ascii="Verdana" w:hAnsi="Verdana"/>
          <w:sz w:val="22"/>
          <w:szCs w:val="22"/>
        </w:rPr>
      </w:pPr>
    </w:p>
    <w:p w14:paraId="0B44AA95" w14:textId="77777777" w:rsidR="00291CEE" w:rsidRPr="00025FD1" w:rsidRDefault="00291CEE" w:rsidP="0049794D">
      <w:pPr>
        <w:pStyle w:val="ListParagraph"/>
        <w:numPr>
          <w:ilvl w:val="0"/>
          <w:numId w:val="4"/>
        </w:numPr>
        <w:tabs>
          <w:tab w:val="left" w:pos="90"/>
        </w:tabs>
        <w:jc w:val="both"/>
        <w:rPr>
          <w:rFonts w:ascii="Verdana" w:hAnsi="Verdana"/>
          <w:b/>
          <w:bCs/>
          <w:color w:val="17365D" w:themeColor="text2" w:themeShade="BF"/>
        </w:rPr>
      </w:pPr>
      <w:r w:rsidRPr="00025FD1">
        <w:rPr>
          <w:rFonts w:ascii="Verdana" w:hAnsi="Verdana"/>
          <w:b/>
          <w:bCs/>
          <w:color w:val="17365D" w:themeColor="text2" w:themeShade="BF"/>
        </w:rPr>
        <w:t>Has the Forms and Transactions Checklist been updated for the new requirements?</w:t>
      </w:r>
    </w:p>
    <w:p w14:paraId="6450D956" w14:textId="77777777" w:rsidR="00291CEE" w:rsidRPr="00025FD1" w:rsidRDefault="00291CEE" w:rsidP="00291CEE">
      <w:pPr>
        <w:tabs>
          <w:tab w:val="left" w:pos="90"/>
        </w:tabs>
        <w:ind w:left="630"/>
        <w:jc w:val="both"/>
        <w:rPr>
          <w:rFonts w:ascii="Verdana" w:hAnsi="Verdana"/>
          <w:sz w:val="22"/>
          <w:szCs w:val="22"/>
        </w:rPr>
      </w:pPr>
      <w:r w:rsidRPr="00025FD1">
        <w:rPr>
          <w:rFonts w:ascii="Verdana" w:hAnsi="Verdana"/>
          <w:sz w:val="22"/>
          <w:szCs w:val="22"/>
        </w:rPr>
        <w:t xml:space="preserve">Yes, the updated checklist is posed on the </w:t>
      </w:r>
      <w:hyperlink r:id="rId19" w:history="1">
        <w:r w:rsidRPr="00025FD1">
          <w:rPr>
            <w:rStyle w:val="Hyperlink"/>
            <w:rFonts w:ascii="Verdana" w:hAnsi="Verdana"/>
            <w:sz w:val="22"/>
            <w:szCs w:val="22"/>
          </w:rPr>
          <w:t>Forms Library</w:t>
        </w:r>
      </w:hyperlink>
      <w:r w:rsidRPr="00025FD1">
        <w:rPr>
          <w:rFonts w:ascii="Verdana" w:hAnsi="Verdana"/>
          <w:sz w:val="22"/>
          <w:szCs w:val="22"/>
        </w:rPr>
        <w:t xml:space="preserve"> tab of the Advisor Resource Center. Check carefully for the new requirements. Your Managing Principal is available to assist with any questions. </w:t>
      </w:r>
    </w:p>
    <w:p w14:paraId="22FE27AC" w14:textId="464D41F4" w:rsidR="00291CEE" w:rsidRDefault="00291CEE" w:rsidP="00452CD5">
      <w:pPr>
        <w:tabs>
          <w:tab w:val="left" w:pos="90"/>
        </w:tabs>
        <w:jc w:val="both"/>
        <w:rPr>
          <w:rFonts w:ascii="Verdana" w:hAnsi="Verdana"/>
          <w:sz w:val="22"/>
          <w:szCs w:val="22"/>
        </w:rPr>
      </w:pPr>
    </w:p>
    <w:p w14:paraId="1CE80695" w14:textId="77777777" w:rsidR="00AE2272" w:rsidRDefault="00AE2272" w:rsidP="00452CD5">
      <w:pPr>
        <w:tabs>
          <w:tab w:val="left" w:pos="90"/>
        </w:tabs>
        <w:jc w:val="both"/>
        <w:rPr>
          <w:rFonts w:ascii="Verdana" w:hAnsi="Verdana"/>
          <w:sz w:val="22"/>
          <w:szCs w:val="22"/>
        </w:rPr>
      </w:pPr>
    </w:p>
    <w:p w14:paraId="583273EC" w14:textId="77777777" w:rsidR="00AE2272" w:rsidRDefault="00AE2272" w:rsidP="00FC1389">
      <w:pPr>
        <w:jc w:val="both"/>
        <w:rPr>
          <w:rFonts w:ascii="Verdana" w:hAnsi="Verdana"/>
          <w:sz w:val="22"/>
          <w:szCs w:val="22"/>
        </w:rPr>
      </w:pPr>
    </w:p>
    <w:p w14:paraId="63F76D38" w14:textId="77777777" w:rsidR="00FC1389" w:rsidRDefault="00FC1389" w:rsidP="00FC1389">
      <w:pPr>
        <w:jc w:val="both"/>
        <w:rPr>
          <w:rFonts w:ascii="Verdana" w:hAnsi="Verdana"/>
          <w:sz w:val="22"/>
          <w:szCs w:val="22"/>
        </w:rPr>
      </w:pPr>
    </w:p>
    <w:p w14:paraId="6E2BEF76" w14:textId="77777777" w:rsidR="00FC1389" w:rsidRPr="00AA259A" w:rsidRDefault="00FC1389" w:rsidP="00452CD5">
      <w:pPr>
        <w:tabs>
          <w:tab w:val="left" w:pos="90"/>
        </w:tabs>
        <w:jc w:val="both"/>
        <w:rPr>
          <w:rFonts w:ascii="Verdana" w:hAnsi="Verdana"/>
          <w:sz w:val="22"/>
          <w:szCs w:val="22"/>
        </w:rPr>
      </w:pPr>
    </w:p>
    <w:sectPr w:rsidR="00FC1389" w:rsidRPr="00AA259A" w:rsidSect="00D7649E">
      <w:headerReference w:type="even" r:id="rId20"/>
      <w:headerReference w:type="default" r:id="rId21"/>
      <w:footerReference w:type="even" r:id="rId22"/>
      <w:footerReference w:type="default" r:id="rId23"/>
      <w:headerReference w:type="first" r:id="rId24"/>
      <w:footerReference w:type="first" r:id="rId25"/>
      <w:pgSz w:w="12240" w:h="15840"/>
      <w:pgMar w:top="990" w:right="1530" w:bottom="720" w:left="720"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5F475" w14:textId="77777777" w:rsidR="009D0058" w:rsidRDefault="009D0058" w:rsidP="002D3C8C">
      <w:r>
        <w:separator/>
      </w:r>
    </w:p>
  </w:endnote>
  <w:endnote w:type="continuationSeparator" w:id="0">
    <w:p w14:paraId="39181CF6" w14:textId="77777777" w:rsidR="009D0058" w:rsidRDefault="009D0058" w:rsidP="002D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AF8D" w14:textId="77777777" w:rsidR="00896ACC" w:rsidRDefault="00896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720214"/>
      <w:docPartObj>
        <w:docPartGallery w:val="Page Numbers (Bottom of Page)"/>
        <w:docPartUnique/>
      </w:docPartObj>
    </w:sdtPr>
    <w:sdtEndPr>
      <w:rPr>
        <w:noProof/>
      </w:rPr>
    </w:sdtEndPr>
    <w:sdtContent>
      <w:p w14:paraId="2DC19D99" w14:textId="45886872" w:rsidR="006358F0" w:rsidRDefault="006358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12A4B" w14:textId="3210000E" w:rsidR="006358F0" w:rsidRPr="00BE7A8C" w:rsidRDefault="00BE7A8C">
    <w:pPr>
      <w:pStyle w:val="Footer"/>
      <w:rPr>
        <w:rFonts w:ascii="Verdana" w:hAnsi="Verdana"/>
        <w:i/>
        <w:iCs/>
        <w:sz w:val="18"/>
        <w:szCs w:val="18"/>
      </w:rPr>
    </w:pPr>
    <w:r w:rsidRPr="00BE7A8C">
      <w:rPr>
        <w:rFonts w:ascii="Verdana" w:hAnsi="Verdana"/>
        <w:i/>
        <w:iCs/>
        <w:sz w:val="18"/>
        <w:szCs w:val="18"/>
      </w:rPr>
      <w:t xml:space="preserve">Rev </w:t>
    </w:r>
    <w:r w:rsidR="00896ACC">
      <w:rPr>
        <w:rFonts w:ascii="Verdana" w:hAnsi="Verdana"/>
        <w:i/>
        <w:iCs/>
        <w:sz w:val="18"/>
        <w:szCs w:val="18"/>
      </w:rPr>
      <w:t>11</w:t>
    </w:r>
    <w:r w:rsidRPr="00BE7A8C">
      <w:rPr>
        <w:rFonts w:ascii="Verdana" w:hAnsi="Verdana"/>
        <w:i/>
        <w:iCs/>
        <w:sz w:val="18"/>
        <w:szCs w:val="18"/>
      </w:rPr>
      <w:t>/</w:t>
    </w:r>
    <w:r w:rsidR="00896ACC">
      <w:rPr>
        <w:rFonts w:ascii="Verdana" w:hAnsi="Verdana"/>
        <w:i/>
        <w:iCs/>
        <w:sz w:val="18"/>
        <w:szCs w:val="18"/>
      </w:rPr>
      <w:t>02</w:t>
    </w:r>
    <w:r w:rsidRPr="00BE7A8C">
      <w:rPr>
        <w:rFonts w:ascii="Verdana" w:hAnsi="Verdana"/>
        <w:i/>
        <w:iCs/>
        <w:sz w:val="18"/>
        <w:szCs w:val="18"/>
      </w:rPr>
      <w:t xml:space="preserve">/2020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D595" w14:textId="77777777" w:rsidR="00896ACC" w:rsidRDefault="0089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DF0E6" w14:textId="77777777" w:rsidR="009D0058" w:rsidRDefault="009D0058" w:rsidP="002D3C8C">
      <w:r>
        <w:separator/>
      </w:r>
    </w:p>
  </w:footnote>
  <w:footnote w:type="continuationSeparator" w:id="0">
    <w:p w14:paraId="39F20D71" w14:textId="77777777" w:rsidR="009D0058" w:rsidRDefault="009D0058" w:rsidP="002D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3DEDE" w14:textId="77777777" w:rsidR="00896ACC" w:rsidRDefault="00896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78929" w14:textId="77777777" w:rsidR="00896ACC" w:rsidRDefault="00896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F026B" w14:textId="77777777" w:rsidR="00896ACC" w:rsidRDefault="00896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66AEF"/>
    <w:multiLevelType w:val="hybridMultilevel"/>
    <w:tmpl w:val="5F5A54D6"/>
    <w:lvl w:ilvl="0" w:tplc="9A7288FC">
      <w:start w:val="1"/>
      <w:numFmt w:val="decimal"/>
      <w:lvlText w:val="%1."/>
      <w:lvlJc w:val="left"/>
      <w:pPr>
        <w:ind w:left="450" w:hanging="360"/>
      </w:pPr>
      <w:rPr>
        <w:b/>
        <w:bCs/>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72AE9"/>
    <w:multiLevelType w:val="hybridMultilevel"/>
    <w:tmpl w:val="BA4EBD3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AE73CF"/>
    <w:multiLevelType w:val="hybridMultilevel"/>
    <w:tmpl w:val="656C7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F635B"/>
    <w:multiLevelType w:val="hybridMultilevel"/>
    <w:tmpl w:val="1A3CF936"/>
    <w:lvl w:ilvl="0" w:tplc="9A7288FC">
      <w:start w:val="1"/>
      <w:numFmt w:val="decimal"/>
      <w:lvlText w:val="%1."/>
      <w:lvlJc w:val="left"/>
      <w:pPr>
        <w:ind w:left="450" w:hanging="360"/>
      </w:pPr>
      <w:rPr>
        <w:b/>
        <w:bCs/>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14C6F"/>
    <w:multiLevelType w:val="hybridMultilevel"/>
    <w:tmpl w:val="5E3A4D60"/>
    <w:lvl w:ilvl="0" w:tplc="9A7288FC">
      <w:start w:val="1"/>
      <w:numFmt w:val="decimal"/>
      <w:lvlText w:val="%1."/>
      <w:lvlJc w:val="left"/>
      <w:pPr>
        <w:ind w:left="450" w:hanging="360"/>
      </w:pPr>
      <w:rPr>
        <w:b/>
        <w:bCs/>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007F2"/>
    <w:multiLevelType w:val="hybridMultilevel"/>
    <w:tmpl w:val="DE5E5BEE"/>
    <w:lvl w:ilvl="0" w:tplc="9A7288FC">
      <w:start w:val="1"/>
      <w:numFmt w:val="decimal"/>
      <w:lvlText w:val="%1."/>
      <w:lvlJc w:val="left"/>
      <w:pPr>
        <w:ind w:left="450" w:hanging="360"/>
      </w:pPr>
      <w:rPr>
        <w:b/>
        <w:bCs/>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F319A"/>
    <w:multiLevelType w:val="hybridMultilevel"/>
    <w:tmpl w:val="6858983A"/>
    <w:lvl w:ilvl="0" w:tplc="03FC1484">
      <w:start w:val="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4CD57D6"/>
    <w:multiLevelType w:val="hybridMultilevel"/>
    <w:tmpl w:val="78362B40"/>
    <w:lvl w:ilvl="0" w:tplc="02583E32">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15:restartNumberingAfterBreak="0">
    <w:nsid w:val="67020F2C"/>
    <w:multiLevelType w:val="hybridMultilevel"/>
    <w:tmpl w:val="681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5"/>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8C"/>
    <w:rsid w:val="000032D2"/>
    <w:rsid w:val="00025FD1"/>
    <w:rsid w:val="00042C80"/>
    <w:rsid w:val="000A0E8F"/>
    <w:rsid w:val="000B0D3C"/>
    <w:rsid w:val="000B6BD6"/>
    <w:rsid w:val="000D67D1"/>
    <w:rsid w:val="000F1A08"/>
    <w:rsid w:val="00107B51"/>
    <w:rsid w:val="00122B39"/>
    <w:rsid w:val="001243D2"/>
    <w:rsid w:val="00131AF7"/>
    <w:rsid w:val="00137389"/>
    <w:rsid w:val="001438D3"/>
    <w:rsid w:val="001565AE"/>
    <w:rsid w:val="001765A8"/>
    <w:rsid w:val="00181357"/>
    <w:rsid w:val="00181A6D"/>
    <w:rsid w:val="001823CB"/>
    <w:rsid w:val="001F3806"/>
    <w:rsid w:val="0022704C"/>
    <w:rsid w:val="00291CEE"/>
    <w:rsid w:val="002A674D"/>
    <w:rsid w:val="002D02EA"/>
    <w:rsid w:val="002D3C8C"/>
    <w:rsid w:val="002E5855"/>
    <w:rsid w:val="00333625"/>
    <w:rsid w:val="00335B52"/>
    <w:rsid w:val="00353E81"/>
    <w:rsid w:val="00384991"/>
    <w:rsid w:val="003B3A6C"/>
    <w:rsid w:val="003F61ED"/>
    <w:rsid w:val="00400231"/>
    <w:rsid w:val="00400F00"/>
    <w:rsid w:val="00424653"/>
    <w:rsid w:val="00430660"/>
    <w:rsid w:val="00432C2F"/>
    <w:rsid w:val="004356F6"/>
    <w:rsid w:val="004440A0"/>
    <w:rsid w:val="00452CD5"/>
    <w:rsid w:val="0049794D"/>
    <w:rsid w:val="004A0D56"/>
    <w:rsid w:val="004A6550"/>
    <w:rsid w:val="004C6595"/>
    <w:rsid w:val="004D44F7"/>
    <w:rsid w:val="004F2953"/>
    <w:rsid w:val="004F61F2"/>
    <w:rsid w:val="005B40A2"/>
    <w:rsid w:val="005E38F7"/>
    <w:rsid w:val="005E775C"/>
    <w:rsid w:val="005F5027"/>
    <w:rsid w:val="006358F0"/>
    <w:rsid w:val="006853E4"/>
    <w:rsid w:val="006D4204"/>
    <w:rsid w:val="007010DA"/>
    <w:rsid w:val="007051B6"/>
    <w:rsid w:val="00715F00"/>
    <w:rsid w:val="00775710"/>
    <w:rsid w:val="00784FF6"/>
    <w:rsid w:val="007A0636"/>
    <w:rsid w:val="007B6895"/>
    <w:rsid w:val="007D2496"/>
    <w:rsid w:val="008112B2"/>
    <w:rsid w:val="0085192E"/>
    <w:rsid w:val="00864C8D"/>
    <w:rsid w:val="008707BE"/>
    <w:rsid w:val="008723D3"/>
    <w:rsid w:val="008955F9"/>
    <w:rsid w:val="00896ACC"/>
    <w:rsid w:val="008974C6"/>
    <w:rsid w:val="008A721E"/>
    <w:rsid w:val="00907091"/>
    <w:rsid w:val="0095187B"/>
    <w:rsid w:val="009922DB"/>
    <w:rsid w:val="009A3532"/>
    <w:rsid w:val="009D0058"/>
    <w:rsid w:val="009D6939"/>
    <w:rsid w:val="009E3DCC"/>
    <w:rsid w:val="00A003D0"/>
    <w:rsid w:val="00A27FA9"/>
    <w:rsid w:val="00A62226"/>
    <w:rsid w:val="00A86E08"/>
    <w:rsid w:val="00AA259A"/>
    <w:rsid w:val="00AB187C"/>
    <w:rsid w:val="00AB424C"/>
    <w:rsid w:val="00AC5648"/>
    <w:rsid w:val="00AE2272"/>
    <w:rsid w:val="00AF02A1"/>
    <w:rsid w:val="00B06D51"/>
    <w:rsid w:val="00B60597"/>
    <w:rsid w:val="00B73DA0"/>
    <w:rsid w:val="00B95EC3"/>
    <w:rsid w:val="00BE266A"/>
    <w:rsid w:val="00BE7A8C"/>
    <w:rsid w:val="00C00E7C"/>
    <w:rsid w:val="00C23634"/>
    <w:rsid w:val="00C44B48"/>
    <w:rsid w:val="00C53E9B"/>
    <w:rsid w:val="00C5429B"/>
    <w:rsid w:val="00C625FC"/>
    <w:rsid w:val="00C71CE6"/>
    <w:rsid w:val="00CB4313"/>
    <w:rsid w:val="00D06B83"/>
    <w:rsid w:val="00D25F1A"/>
    <w:rsid w:val="00D5429F"/>
    <w:rsid w:val="00D7649E"/>
    <w:rsid w:val="00DA6439"/>
    <w:rsid w:val="00DC11B1"/>
    <w:rsid w:val="00E10147"/>
    <w:rsid w:val="00E109DB"/>
    <w:rsid w:val="00E45F05"/>
    <w:rsid w:val="00E5431F"/>
    <w:rsid w:val="00EA41E5"/>
    <w:rsid w:val="00EA7CB3"/>
    <w:rsid w:val="00ED2BB3"/>
    <w:rsid w:val="00ED39E5"/>
    <w:rsid w:val="00ED7323"/>
    <w:rsid w:val="00F02D28"/>
    <w:rsid w:val="00F319D7"/>
    <w:rsid w:val="00F3744A"/>
    <w:rsid w:val="00F9482C"/>
    <w:rsid w:val="00FA58F4"/>
    <w:rsid w:val="00FC1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44B1160"/>
  <w14:defaultImageDpi w14:val="330"/>
  <w15:docId w15:val="{F78816A8-EF83-478D-B3C5-B29B9E21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C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3C8C"/>
    <w:rPr>
      <w:rFonts w:ascii="Lucida Grande" w:hAnsi="Lucida Grande" w:cs="Lucida Grande"/>
      <w:sz w:val="18"/>
      <w:szCs w:val="18"/>
    </w:rPr>
  </w:style>
  <w:style w:type="paragraph" w:styleId="Header">
    <w:name w:val="header"/>
    <w:basedOn w:val="Normal"/>
    <w:link w:val="HeaderChar"/>
    <w:uiPriority w:val="99"/>
    <w:unhideWhenUsed/>
    <w:rsid w:val="002D3C8C"/>
    <w:pPr>
      <w:tabs>
        <w:tab w:val="center" w:pos="4320"/>
        <w:tab w:val="right" w:pos="8640"/>
      </w:tabs>
    </w:pPr>
  </w:style>
  <w:style w:type="character" w:customStyle="1" w:styleId="HeaderChar">
    <w:name w:val="Header Char"/>
    <w:basedOn w:val="DefaultParagraphFont"/>
    <w:link w:val="Header"/>
    <w:uiPriority w:val="99"/>
    <w:rsid w:val="002D3C8C"/>
  </w:style>
  <w:style w:type="paragraph" w:styleId="Footer">
    <w:name w:val="footer"/>
    <w:basedOn w:val="Normal"/>
    <w:link w:val="FooterChar"/>
    <w:uiPriority w:val="99"/>
    <w:unhideWhenUsed/>
    <w:rsid w:val="002D3C8C"/>
    <w:pPr>
      <w:tabs>
        <w:tab w:val="center" w:pos="4320"/>
        <w:tab w:val="right" w:pos="8640"/>
      </w:tabs>
    </w:pPr>
  </w:style>
  <w:style w:type="character" w:customStyle="1" w:styleId="FooterChar">
    <w:name w:val="Footer Char"/>
    <w:basedOn w:val="DefaultParagraphFont"/>
    <w:link w:val="Footer"/>
    <w:uiPriority w:val="99"/>
    <w:rsid w:val="002D3C8C"/>
  </w:style>
  <w:style w:type="character" w:styleId="PageNumber">
    <w:name w:val="page number"/>
    <w:basedOn w:val="DefaultParagraphFont"/>
    <w:uiPriority w:val="99"/>
    <w:semiHidden/>
    <w:unhideWhenUsed/>
    <w:rsid w:val="002D3C8C"/>
  </w:style>
  <w:style w:type="paragraph" w:styleId="ListParagraph">
    <w:name w:val="List Paragraph"/>
    <w:basedOn w:val="Normal"/>
    <w:uiPriority w:val="34"/>
    <w:qFormat/>
    <w:rsid w:val="00384991"/>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6853E4"/>
    <w:rPr>
      <w:color w:val="0000FF" w:themeColor="hyperlink"/>
      <w:u w:val="single"/>
    </w:rPr>
  </w:style>
  <w:style w:type="character" w:styleId="UnresolvedMention">
    <w:name w:val="Unresolved Mention"/>
    <w:basedOn w:val="DefaultParagraphFont"/>
    <w:uiPriority w:val="99"/>
    <w:semiHidden/>
    <w:unhideWhenUsed/>
    <w:rsid w:val="006853E4"/>
    <w:rPr>
      <w:color w:val="605E5C"/>
      <w:shd w:val="clear" w:color="auto" w:fill="E1DFDD"/>
    </w:rPr>
  </w:style>
  <w:style w:type="character" w:styleId="Strong">
    <w:name w:val="Strong"/>
    <w:basedOn w:val="DefaultParagraphFont"/>
    <w:uiPriority w:val="22"/>
    <w:qFormat/>
    <w:rsid w:val="00A003D0"/>
    <w:rPr>
      <w:b/>
      <w:bCs/>
    </w:rPr>
  </w:style>
  <w:style w:type="paragraph" w:customStyle="1" w:styleId="Default">
    <w:name w:val="Default"/>
    <w:basedOn w:val="Normal"/>
    <w:rsid w:val="001765A8"/>
    <w:pPr>
      <w:autoSpaceDE w:val="0"/>
      <w:autoSpaceDN w:val="0"/>
    </w:pPr>
    <w:rPr>
      <w:rFonts w:ascii="Verdana" w:eastAsiaTheme="minorHAnsi" w:hAnsi="Verdana"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016884">
      <w:bodyDiv w:val="1"/>
      <w:marLeft w:val="0"/>
      <w:marRight w:val="0"/>
      <w:marTop w:val="0"/>
      <w:marBottom w:val="0"/>
      <w:divBdr>
        <w:top w:val="none" w:sz="0" w:space="0" w:color="auto"/>
        <w:left w:val="none" w:sz="0" w:space="0" w:color="auto"/>
        <w:bottom w:val="none" w:sz="0" w:space="0" w:color="auto"/>
        <w:right w:val="none" w:sz="0" w:space="0" w:color="auto"/>
      </w:divBdr>
      <w:divsChild>
        <w:div w:id="1909730389">
          <w:marLeft w:val="0"/>
          <w:marRight w:val="0"/>
          <w:marTop w:val="0"/>
          <w:marBottom w:val="0"/>
          <w:divBdr>
            <w:top w:val="none" w:sz="0" w:space="0" w:color="auto"/>
            <w:left w:val="none" w:sz="0" w:space="0" w:color="auto"/>
            <w:bottom w:val="none" w:sz="0" w:space="0" w:color="auto"/>
            <w:right w:val="none" w:sz="0" w:space="0" w:color="auto"/>
          </w:divBdr>
        </w:div>
      </w:divsChild>
    </w:div>
    <w:div w:id="2042657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sbd.net" TargetMode="External"/><Relationship Id="rId18" Type="http://schemas.openxmlformats.org/officeDocument/2006/relationships/hyperlink" Target="http://www.pcsbd.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csbd.net/client-access-area/recommendation-guidance/" TargetMode="External"/><Relationship Id="rId17" Type="http://schemas.openxmlformats.org/officeDocument/2006/relationships/hyperlink" Target="https://pcsbd.net/disclosur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csbd.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sbd.ne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csbd.net/client-access-area/recommendation-guidance/" TargetMode="External"/><Relationship Id="rId23" Type="http://schemas.openxmlformats.org/officeDocument/2006/relationships/footer" Target="footer2.xml"/><Relationship Id="rId10" Type="http://schemas.openxmlformats.org/officeDocument/2006/relationships/hyperlink" Target="https://pcsbd.net/client-access-area/recommendation-guidance/" TargetMode="External"/><Relationship Id="rId19" Type="http://schemas.openxmlformats.org/officeDocument/2006/relationships/hyperlink" Target="https://pcsbd.net/client-access-area/forms-libr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DC69-8E4F-4403-B2EF-9CC48791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Coyne PR</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Rottner</dc:creator>
  <cp:lastModifiedBy>Wilson, Ann</cp:lastModifiedBy>
  <cp:revision>8</cp:revision>
  <cp:lastPrinted>2020-07-17T16:40:00Z</cp:lastPrinted>
  <dcterms:created xsi:type="dcterms:W3CDTF">2020-11-02T15:37:00Z</dcterms:created>
  <dcterms:modified xsi:type="dcterms:W3CDTF">2020-11-02T16:47:00Z</dcterms:modified>
</cp:coreProperties>
</file>