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EF3D" w14:textId="77777777" w:rsidR="008916BD" w:rsidRDefault="008916BD">
      <w:pPr>
        <w:rPr>
          <w:rFonts w:ascii="Arial" w:hAnsi="Arial" w:cs="Arial"/>
          <w:sz w:val="20"/>
          <w:szCs w:val="20"/>
        </w:rPr>
      </w:pPr>
    </w:p>
    <w:p w14:paraId="0C3602CA" w14:textId="65EADDCD" w:rsidR="009825EE" w:rsidRPr="00C146BC" w:rsidRDefault="00BE70C4">
      <w:pPr>
        <w:rPr>
          <w:rFonts w:ascii="Arial" w:hAnsi="Arial" w:cs="Arial"/>
          <w:sz w:val="20"/>
          <w:szCs w:val="20"/>
        </w:rPr>
      </w:pPr>
      <w:r>
        <w:rPr>
          <w:rFonts w:ascii="Arial" w:hAnsi="Arial" w:cs="Arial"/>
          <w:sz w:val="20"/>
          <w:szCs w:val="20"/>
        </w:rPr>
        <w:t xml:space="preserve">Hi </w:t>
      </w:r>
      <w:r w:rsidRPr="00790832">
        <w:rPr>
          <w:rFonts w:ascii="Arial" w:hAnsi="Arial" w:cs="Arial"/>
          <w:sz w:val="20"/>
          <w:szCs w:val="20"/>
          <w:highlight w:val="yellow"/>
        </w:rPr>
        <w:t>Client</w:t>
      </w:r>
      <w:r w:rsidR="00790832" w:rsidRPr="00790832">
        <w:rPr>
          <w:rFonts w:ascii="Arial" w:hAnsi="Arial" w:cs="Arial"/>
          <w:sz w:val="20"/>
          <w:szCs w:val="20"/>
          <w:highlight w:val="yellow"/>
        </w:rPr>
        <w:t>/Insert Name</w:t>
      </w:r>
      <w:r w:rsidR="00CF7113" w:rsidRPr="00C146BC">
        <w:rPr>
          <w:rFonts w:ascii="Arial" w:hAnsi="Arial" w:cs="Arial"/>
          <w:sz w:val="20"/>
          <w:szCs w:val="20"/>
        </w:rPr>
        <w:t>,</w:t>
      </w:r>
    </w:p>
    <w:p w14:paraId="6AC8BD8F" w14:textId="29E919BC" w:rsidR="00295C61" w:rsidRPr="00C146BC" w:rsidRDefault="00351D3D">
      <w:pPr>
        <w:rPr>
          <w:rFonts w:ascii="Arial" w:hAnsi="Arial" w:cs="Arial"/>
          <w:sz w:val="20"/>
          <w:szCs w:val="20"/>
        </w:rPr>
      </w:pPr>
      <w:r>
        <w:rPr>
          <w:rFonts w:ascii="Arial" w:hAnsi="Arial" w:cs="Arial"/>
          <w:sz w:val="20"/>
          <w:szCs w:val="20"/>
        </w:rPr>
        <w:t>I</w:t>
      </w:r>
      <w:r w:rsidR="00CF7113" w:rsidRPr="00C146BC">
        <w:rPr>
          <w:rFonts w:ascii="Arial" w:hAnsi="Arial" w:cs="Arial"/>
          <w:sz w:val="20"/>
          <w:szCs w:val="20"/>
        </w:rPr>
        <w:t xml:space="preserve"> wanted to </w:t>
      </w:r>
      <w:r w:rsidR="00B033B2">
        <w:rPr>
          <w:rFonts w:ascii="Arial" w:hAnsi="Arial" w:cs="Arial"/>
          <w:sz w:val="20"/>
          <w:szCs w:val="20"/>
        </w:rPr>
        <w:t xml:space="preserve">quickly </w:t>
      </w:r>
      <w:r w:rsidR="00CF7113" w:rsidRPr="00C146BC">
        <w:rPr>
          <w:rFonts w:ascii="Arial" w:hAnsi="Arial" w:cs="Arial"/>
          <w:sz w:val="20"/>
          <w:szCs w:val="20"/>
        </w:rPr>
        <w:t>touch base</w:t>
      </w:r>
      <w:r>
        <w:rPr>
          <w:rFonts w:ascii="Arial" w:hAnsi="Arial" w:cs="Arial"/>
          <w:sz w:val="20"/>
          <w:szCs w:val="20"/>
        </w:rPr>
        <w:t xml:space="preserve"> </w:t>
      </w:r>
      <w:r w:rsidR="006C2275">
        <w:rPr>
          <w:rFonts w:ascii="Arial" w:hAnsi="Arial" w:cs="Arial"/>
          <w:sz w:val="20"/>
          <w:szCs w:val="20"/>
        </w:rPr>
        <w:t xml:space="preserve">in light of the recent market </w:t>
      </w:r>
      <w:r w:rsidR="00CF7113" w:rsidRPr="00C146BC">
        <w:rPr>
          <w:rFonts w:ascii="Arial" w:hAnsi="Arial" w:cs="Arial"/>
          <w:sz w:val="20"/>
          <w:szCs w:val="20"/>
        </w:rPr>
        <w:t>volatility</w:t>
      </w:r>
      <w:r w:rsidR="006C2275">
        <w:rPr>
          <w:rFonts w:ascii="Arial" w:hAnsi="Arial" w:cs="Arial"/>
          <w:sz w:val="20"/>
          <w:szCs w:val="20"/>
        </w:rPr>
        <w:t xml:space="preserve">. We appreciate these moves in markets can </w:t>
      </w:r>
      <w:r w:rsidR="00CF7113" w:rsidRPr="00C146BC">
        <w:rPr>
          <w:rFonts w:ascii="Arial" w:hAnsi="Arial" w:cs="Arial"/>
          <w:sz w:val="20"/>
          <w:szCs w:val="20"/>
        </w:rPr>
        <w:t>be unsettling</w:t>
      </w:r>
      <w:r w:rsidR="00790832">
        <w:rPr>
          <w:rFonts w:ascii="Arial" w:hAnsi="Arial" w:cs="Arial"/>
          <w:sz w:val="20"/>
          <w:szCs w:val="20"/>
        </w:rPr>
        <w:t xml:space="preserve"> and </w:t>
      </w:r>
      <w:r w:rsidR="00BE70C4">
        <w:rPr>
          <w:rFonts w:ascii="Arial" w:hAnsi="Arial" w:cs="Arial"/>
          <w:sz w:val="20"/>
          <w:szCs w:val="20"/>
        </w:rPr>
        <w:t>naturally stir</w:t>
      </w:r>
      <w:r w:rsidR="00790832">
        <w:rPr>
          <w:rFonts w:ascii="Arial" w:hAnsi="Arial" w:cs="Arial"/>
          <w:sz w:val="20"/>
          <w:szCs w:val="20"/>
        </w:rPr>
        <w:t xml:space="preserve"> up</w:t>
      </w:r>
      <w:r w:rsidR="00BE70C4">
        <w:rPr>
          <w:rFonts w:ascii="Arial" w:hAnsi="Arial" w:cs="Arial"/>
          <w:sz w:val="20"/>
          <w:szCs w:val="20"/>
        </w:rPr>
        <w:t xml:space="preserve"> several questions:</w:t>
      </w:r>
    </w:p>
    <w:p w14:paraId="7E39F403" w14:textId="50E969E3" w:rsidR="00295C61" w:rsidRPr="00C146BC" w:rsidRDefault="00295C61" w:rsidP="00295C61">
      <w:pPr>
        <w:pStyle w:val="ListParagraph"/>
        <w:numPr>
          <w:ilvl w:val="0"/>
          <w:numId w:val="1"/>
        </w:numPr>
        <w:rPr>
          <w:rFonts w:ascii="Arial" w:hAnsi="Arial" w:cs="Arial"/>
          <w:sz w:val="20"/>
          <w:szCs w:val="20"/>
        </w:rPr>
      </w:pPr>
      <w:r w:rsidRPr="00C146BC">
        <w:rPr>
          <w:rFonts w:ascii="Arial" w:hAnsi="Arial" w:cs="Arial"/>
          <w:sz w:val="20"/>
          <w:szCs w:val="20"/>
        </w:rPr>
        <w:t xml:space="preserve">What is driving </w:t>
      </w:r>
      <w:r w:rsidR="00F75280" w:rsidRPr="00C146BC">
        <w:rPr>
          <w:rFonts w:ascii="Arial" w:hAnsi="Arial" w:cs="Arial"/>
          <w:sz w:val="20"/>
          <w:szCs w:val="20"/>
        </w:rPr>
        <w:t>market volatility</w:t>
      </w:r>
      <w:r w:rsidRPr="00C146BC">
        <w:rPr>
          <w:rFonts w:ascii="Arial" w:hAnsi="Arial" w:cs="Arial"/>
          <w:sz w:val="20"/>
          <w:szCs w:val="20"/>
        </w:rPr>
        <w:t>?</w:t>
      </w:r>
    </w:p>
    <w:p w14:paraId="113CA7EB" w14:textId="10FB6A7A" w:rsidR="00295C61" w:rsidRPr="00C146BC" w:rsidRDefault="00C237EC" w:rsidP="00295C61">
      <w:pPr>
        <w:pStyle w:val="ListParagraph"/>
        <w:numPr>
          <w:ilvl w:val="0"/>
          <w:numId w:val="1"/>
        </w:numPr>
        <w:rPr>
          <w:rFonts w:ascii="Arial" w:hAnsi="Arial" w:cs="Arial"/>
          <w:sz w:val="20"/>
          <w:szCs w:val="20"/>
        </w:rPr>
      </w:pPr>
      <w:r w:rsidRPr="00C146BC">
        <w:rPr>
          <w:rFonts w:ascii="Arial" w:hAnsi="Arial" w:cs="Arial"/>
          <w:sz w:val="20"/>
          <w:szCs w:val="20"/>
        </w:rPr>
        <w:t>How is my portfolio positioned for these events?</w:t>
      </w:r>
    </w:p>
    <w:p w14:paraId="0D96774F" w14:textId="6F8B7F19" w:rsidR="00295C61" w:rsidRPr="00C146BC" w:rsidRDefault="00295C61" w:rsidP="00295C61">
      <w:pPr>
        <w:pStyle w:val="ListParagraph"/>
        <w:numPr>
          <w:ilvl w:val="0"/>
          <w:numId w:val="1"/>
        </w:numPr>
        <w:rPr>
          <w:rFonts w:ascii="Arial" w:hAnsi="Arial" w:cs="Arial"/>
          <w:sz w:val="20"/>
          <w:szCs w:val="20"/>
        </w:rPr>
      </w:pPr>
      <w:r w:rsidRPr="00C146BC">
        <w:rPr>
          <w:rFonts w:ascii="Arial" w:hAnsi="Arial" w:cs="Arial"/>
          <w:sz w:val="20"/>
          <w:szCs w:val="20"/>
        </w:rPr>
        <w:t xml:space="preserve">What, if anything, should </w:t>
      </w:r>
      <w:r w:rsidR="00AC7D4F">
        <w:rPr>
          <w:rFonts w:ascii="Arial" w:hAnsi="Arial" w:cs="Arial"/>
          <w:sz w:val="20"/>
          <w:szCs w:val="20"/>
        </w:rPr>
        <w:t>we</w:t>
      </w:r>
      <w:r w:rsidRPr="00C146BC">
        <w:rPr>
          <w:rFonts w:ascii="Arial" w:hAnsi="Arial" w:cs="Arial"/>
          <w:sz w:val="20"/>
          <w:szCs w:val="20"/>
        </w:rPr>
        <w:t xml:space="preserve"> do about it?</w:t>
      </w:r>
    </w:p>
    <w:p w14:paraId="3FEC8819" w14:textId="65AF2952" w:rsidR="00AC7D4F" w:rsidRDefault="00441360" w:rsidP="00295C61">
      <w:pPr>
        <w:rPr>
          <w:rFonts w:ascii="Arial" w:hAnsi="Arial" w:cs="Arial"/>
          <w:sz w:val="20"/>
          <w:szCs w:val="20"/>
        </w:rPr>
      </w:pPr>
      <w:r>
        <w:rPr>
          <w:rFonts w:ascii="Arial" w:hAnsi="Arial" w:cs="Arial"/>
          <w:sz w:val="20"/>
          <w:szCs w:val="20"/>
        </w:rPr>
        <w:t xml:space="preserve">Our </w:t>
      </w:r>
      <w:r w:rsidR="0033724A">
        <w:rPr>
          <w:rFonts w:ascii="Arial" w:hAnsi="Arial" w:cs="Arial"/>
          <w:sz w:val="20"/>
          <w:szCs w:val="20"/>
        </w:rPr>
        <w:t>investment</w:t>
      </w:r>
      <w:r w:rsidR="001644F2">
        <w:rPr>
          <w:rFonts w:ascii="Arial" w:hAnsi="Arial" w:cs="Arial"/>
          <w:sz w:val="20"/>
          <w:szCs w:val="20"/>
        </w:rPr>
        <w:t xml:space="preserve"> </w:t>
      </w:r>
      <w:r>
        <w:rPr>
          <w:rFonts w:ascii="Arial" w:hAnsi="Arial" w:cs="Arial"/>
          <w:sz w:val="20"/>
          <w:szCs w:val="20"/>
        </w:rPr>
        <w:t xml:space="preserve">process </w:t>
      </w:r>
      <w:r w:rsidR="001644F2">
        <w:rPr>
          <w:rFonts w:ascii="Arial" w:hAnsi="Arial" w:cs="Arial"/>
          <w:sz w:val="20"/>
          <w:szCs w:val="20"/>
        </w:rPr>
        <w:t>sources</w:t>
      </w:r>
      <w:r>
        <w:rPr>
          <w:rFonts w:ascii="Arial" w:hAnsi="Arial" w:cs="Arial"/>
          <w:sz w:val="20"/>
          <w:szCs w:val="20"/>
        </w:rPr>
        <w:t xml:space="preserve"> its conviction from</w:t>
      </w:r>
      <w:r w:rsidR="00686B78">
        <w:rPr>
          <w:rFonts w:ascii="Arial" w:hAnsi="Arial" w:cs="Arial"/>
          <w:sz w:val="20"/>
          <w:szCs w:val="20"/>
        </w:rPr>
        <w:t xml:space="preserve"> our history of</w:t>
      </w:r>
      <w:r>
        <w:rPr>
          <w:rFonts w:ascii="Arial" w:hAnsi="Arial" w:cs="Arial"/>
          <w:sz w:val="20"/>
          <w:szCs w:val="20"/>
        </w:rPr>
        <w:t xml:space="preserve"> </w:t>
      </w:r>
      <w:r w:rsidR="00AC7D4F">
        <w:rPr>
          <w:rFonts w:ascii="Arial" w:hAnsi="Arial" w:cs="Arial"/>
          <w:sz w:val="20"/>
          <w:szCs w:val="20"/>
        </w:rPr>
        <w:t>emphasizing</w:t>
      </w:r>
      <w:r>
        <w:rPr>
          <w:rFonts w:ascii="Arial" w:hAnsi="Arial" w:cs="Arial"/>
          <w:sz w:val="20"/>
          <w:szCs w:val="20"/>
        </w:rPr>
        <w:t xml:space="preserve"> long-term outcomes, </w:t>
      </w:r>
      <w:r w:rsidR="00AC7D4F">
        <w:rPr>
          <w:rFonts w:ascii="Arial" w:hAnsi="Arial" w:cs="Arial"/>
          <w:sz w:val="20"/>
          <w:szCs w:val="20"/>
        </w:rPr>
        <w:t xml:space="preserve">focusing on </w:t>
      </w:r>
      <w:r w:rsidR="006C2275">
        <w:rPr>
          <w:rFonts w:ascii="Arial" w:hAnsi="Arial" w:cs="Arial"/>
          <w:sz w:val="20"/>
          <w:szCs w:val="20"/>
        </w:rPr>
        <w:t xml:space="preserve">your </w:t>
      </w:r>
      <w:r w:rsidR="00635B69">
        <w:rPr>
          <w:rFonts w:ascii="Arial" w:hAnsi="Arial" w:cs="Arial"/>
          <w:sz w:val="20"/>
          <w:szCs w:val="20"/>
        </w:rPr>
        <w:t xml:space="preserve">portfolio </w:t>
      </w:r>
      <w:r>
        <w:rPr>
          <w:rFonts w:ascii="Arial" w:hAnsi="Arial" w:cs="Arial"/>
          <w:sz w:val="20"/>
          <w:szCs w:val="20"/>
        </w:rPr>
        <w:t xml:space="preserve">objectives, and </w:t>
      </w:r>
      <w:r w:rsidR="00686B78">
        <w:rPr>
          <w:rFonts w:ascii="Arial" w:hAnsi="Arial" w:cs="Arial"/>
          <w:sz w:val="20"/>
          <w:szCs w:val="20"/>
        </w:rPr>
        <w:t xml:space="preserve">allowing our </w:t>
      </w:r>
      <w:r w:rsidR="00AC7D4F">
        <w:rPr>
          <w:rFonts w:ascii="Arial" w:hAnsi="Arial" w:cs="Arial"/>
          <w:sz w:val="20"/>
          <w:szCs w:val="20"/>
        </w:rPr>
        <w:t>outlook</w:t>
      </w:r>
      <w:r w:rsidR="00635B69">
        <w:rPr>
          <w:rFonts w:ascii="Arial" w:hAnsi="Arial" w:cs="Arial"/>
          <w:sz w:val="20"/>
          <w:szCs w:val="20"/>
        </w:rPr>
        <w:t xml:space="preserve"> </w:t>
      </w:r>
      <w:r w:rsidR="00686B78">
        <w:rPr>
          <w:rFonts w:ascii="Arial" w:hAnsi="Arial" w:cs="Arial"/>
          <w:sz w:val="20"/>
          <w:szCs w:val="20"/>
        </w:rPr>
        <w:t xml:space="preserve">to </w:t>
      </w:r>
      <w:r w:rsidR="00A011CC">
        <w:rPr>
          <w:rFonts w:ascii="Arial" w:hAnsi="Arial" w:cs="Arial"/>
          <w:sz w:val="20"/>
          <w:szCs w:val="20"/>
        </w:rPr>
        <w:t>evolve</w:t>
      </w:r>
      <w:r w:rsidR="00686B78">
        <w:rPr>
          <w:rFonts w:ascii="Arial" w:hAnsi="Arial" w:cs="Arial"/>
          <w:sz w:val="20"/>
          <w:szCs w:val="20"/>
        </w:rPr>
        <w:t xml:space="preserve"> as </w:t>
      </w:r>
      <w:r w:rsidR="00635B69">
        <w:rPr>
          <w:rFonts w:ascii="Arial" w:hAnsi="Arial" w:cs="Arial"/>
          <w:sz w:val="20"/>
          <w:szCs w:val="20"/>
        </w:rPr>
        <w:t>circumstances</w:t>
      </w:r>
      <w:r w:rsidR="00AC7D4F">
        <w:rPr>
          <w:rFonts w:ascii="Arial" w:hAnsi="Arial" w:cs="Arial"/>
          <w:sz w:val="20"/>
          <w:szCs w:val="20"/>
        </w:rPr>
        <w:t xml:space="preserve"> </w:t>
      </w:r>
      <w:r w:rsidR="00631291">
        <w:rPr>
          <w:rFonts w:ascii="Arial" w:hAnsi="Arial" w:cs="Arial"/>
          <w:sz w:val="20"/>
          <w:szCs w:val="20"/>
        </w:rPr>
        <w:t>change</w:t>
      </w:r>
      <w:r w:rsidR="00686B78">
        <w:rPr>
          <w:rFonts w:ascii="Arial" w:hAnsi="Arial" w:cs="Arial"/>
          <w:sz w:val="20"/>
          <w:szCs w:val="20"/>
        </w:rPr>
        <w:t xml:space="preserve">. </w:t>
      </w:r>
      <w:r w:rsidR="00AC7D4F">
        <w:rPr>
          <w:rFonts w:ascii="Arial" w:hAnsi="Arial" w:cs="Arial"/>
          <w:sz w:val="20"/>
          <w:szCs w:val="20"/>
        </w:rPr>
        <w:t xml:space="preserve">In short, we seek to avoid emotional reactions.  </w:t>
      </w:r>
    </w:p>
    <w:p w14:paraId="4513764B" w14:textId="105E4F73" w:rsidR="00D87195" w:rsidRDefault="00644B6F" w:rsidP="00295C61">
      <w:pPr>
        <w:rPr>
          <w:rFonts w:ascii="Arial" w:hAnsi="Arial" w:cs="Arial"/>
          <w:sz w:val="20"/>
          <w:szCs w:val="20"/>
        </w:rPr>
      </w:pPr>
      <w:r>
        <w:rPr>
          <w:rFonts w:ascii="Arial" w:hAnsi="Arial" w:cs="Arial"/>
          <w:sz w:val="20"/>
          <w:szCs w:val="20"/>
        </w:rPr>
        <w:t>Below, w</w:t>
      </w:r>
      <w:r w:rsidR="00686B78">
        <w:rPr>
          <w:rFonts w:ascii="Arial" w:hAnsi="Arial" w:cs="Arial"/>
          <w:sz w:val="20"/>
          <w:szCs w:val="20"/>
        </w:rPr>
        <w:t>e</w:t>
      </w:r>
      <w:r w:rsidR="00A011CC">
        <w:rPr>
          <w:rFonts w:ascii="Arial" w:hAnsi="Arial" w:cs="Arial"/>
          <w:sz w:val="20"/>
          <w:szCs w:val="20"/>
        </w:rPr>
        <w:t xml:space="preserve"> </w:t>
      </w:r>
      <w:r w:rsidR="006C2275">
        <w:rPr>
          <w:rFonts w:ascii="Arial" w:hAnsi="Arial" w:cs="Arial"/>
          <w:sz w:val="20"/>
          <w:szCs w:val="20"/>
        </w:rPr>
        <w:t xml:space="preserve">have </w:t>
      </w:r>
      <w:r w:rsidR="00686B78">
        <w:rPr>
          <w:rFonts w:ascii="Arial" w:hAnsi="Arial" w:cs="Arial"/>
          <w:sz w:val="20"/>
          <w:szCs w:val="20"/>
        </w:rPr>
        <w:t>provide</w:t>
      </w:r>
      <w:r w:rsidR="006C2275">
        <w:rPr>
          <w:rFonts w:ascii="Arial" w:hAnsi="Arial" w:cs="Arial"/>
          <w:sz w:val="20"/>
          <w:szCs w:val="20"/>
        </w:rPr>
        <w:t>d</w:t>
      </w:r>
      <w:r w:rsidR="00686B78">
        <w:rPr>
          <w:rFonts w:ascii="Arial" w:hAnsi="Arial" w:cs="Arial"/>
          <w:sz w:val="20"/>
          <w:szCs w:val="20"/>
        </w:rPr>
        <w:t xml:space="preserve"> </w:t>
      </w:r>
      <w:r>
        <w:rPr>
          <w:rFonts w:ascii="Arial" w:hAnsi="Arial" w:cs="Arial"/>
          <w:sz w:val="20"/>
          <w:szCs w:val="20"/>
        </w:rPr>
        <w:t>some additional perspective</w:t>
      </w:r>
      <w:r w:rsidR="00686B78">
        <w:rPr>
          <w:rFonts w:ascii="Arial" w:hAnsi="Arial" w:cs="Arial"/>
          <w:sz w:val="20"/>
          <w:szCs w:val="20"/>
        </w:rPr>
        <w:t xml:space="preserve"> on recent volatility</w:t>
      </w:r>
      <w:r>
        <w:rPr>
          <w:rFonts w:ascii="Arial" w:hAnsi="Arial" w:cs="Arial"/>
          <w:sz w:val="20"/>
          <w:szCs w:val="20"/>
        </w:rPr>
        <w:t xml:space="preserve"> and</w:t>
      </w:r>
      <w:r w:rsidR="00686B78">
        <w:rPr>
          <w:rFonts w:ascii="Arial" w:hAnsi="Arial" w:cs="Arial"/>
          <w:sz w:val="20"/>
          <w:szCs w:val="20"/>
        </w:rPr>
        <w:t xml:space="preserve"> the market</w:t>
      </w:r>
      <w:r>
        <w:rPr>
          <w:rFonts w:ascii="Arial" w:hAnsi="Arial" w:cs="Arial"/>
          <w:sz w:val="20"/>
          <w:szCs w:val="20"/>
        </w:rPr>
        <w:t>s more broadly.</w:t>
      </w:r>
      <w:r w:rsidR="00351D3D">
        <w:rPr>
          <w:rFonts w:ascii="Arial" w:hAnsi="Arial" w:cs="Arial"/>
          <w:sz w:val="20"/>
          <w:szCs w:val="20"/>
        </w:rPr>
        <w:t xml:space="preserve"> </w:t>
      </w:r>
      <w:r>
        <w:rPr>
          <w:rFonts w:ascii="Arial" w:hAnsi="Arial" w:cs="Arial"/>
          <w:sz w:val="20"/>
          <w:szCs w:val="20"/>
        </w:rPr>
        <w:t xml:space="preserve">In addition, we offer </w:t>
      </w:r>
      <w:r w:rsidR="00992064">
        <w:rPr>
          <w:rFonts w:ascii="Arial" w:hAnsi="Arial" w:cs="Arial"/>
          <w:sz w:val="20"/>
          <w:szCs w:val="20"/>
        </w:rPr>
        <w:t>a host of other</w:t>
      </w:r>
      <w:r w:rsidR="00CD29AF">
        <w:rPr>
          <w:rFonts w:ascii="Arial" w:hAnsi="Arial" w:cs="Arial"/>
          <w:sz w:val="20"/>
          <w:szCs w:val="20"/>
        </w:rPr>
        <w:t xml:space="preserve"> </w:t>
      </w:r>
      <w:r w:rsidR="00686B78">
        <w:rPr>
          <w:rFonts w:ascii="Arial" w:hAnsi="Arial" w:cs="Arial"/>
          <w:sz w:val="20"/>
          <w:szCs w:val="20"/>
        </w:rPr>
        <w:t>resource</w:t>
      </w:r>
      <w:r>
        <w:rPr>
          <w:rFonts w:ascii="Arial" w:hAnsi="Arial" w:cs="Arial"/>
          <w:sz w:val="20"/>
          <w:szCs w:val="20"/>
        </w:rPr>
        <w:t>s</w:t>
      </w:r>
      <w:r w:rsidR="00686B78">
        <w:rPr>
          <w:rFonts w:ascii="Arial" w:hAnsi="Arial" w:cs="Arial"/>
          <w:sz w:val="20"/>
          <w:szCs w:val="20"/>
        </w:rPr>
        <w:t xml:space="preserve"> that </w:t>
      </w:r>
      <w:r w:rsidR="001F58C0">
        <w:rPr>
          <w:rFonts w:ascii="Arial" w:hAnsi="Arial" w:cs="Arial"/>
          <w:sz w:val="20"/>
          <w:szCs w:val="20"/>
        </w:rPr>
        <w:t>should</w:t>
      </w:r>
      <w:r w:rsidR="00686B78">
        <w:rPr>
          <w:rFonts w:ascii="Arial" w:hAnsi="Arial" w:cs="Arial"/>
          <w:sz w:val="20"/>
          <w:szCs w:val="20"/>
        </w:rPr>
        <w:t xml:space="preserve"> </w:t>
      </w:r>
      <w:r>
        <w:rPr>
          <w:rFonts w:ascii="Arial" w:hAnsi="Arial" w:cs="Arial"/>
          <w:sz w:val="20"/>
          <w:szCs w:val="20"/>
        </w:rPr>
        <w:t xml:space="preserve">help </w:t>
      </w:r>
      <w:r w:rsidR="00790832">
        <w:rPr>
          <w:rFonts w:ascii="Arial" w:hAnsi="Arial" w:cs="Arial"/>
          <w:sz w:val="20"/>
          <w:szCs w:val="20"/>
        </w:rPr>
        <w:t>provide insight to the</w:t>
      </w:r>
      <w:r>
        <w:rPr>
          <w:rFonts w:ascii="Arial" w:hAnsi="Arial" w:cs="Arial"/>
          <w:sz w:val="20"/>
          <w:szCs w:val="20"/>
        </w:rPr>
        <w:t xml:space="preserve"> cur</w:t>
      </w:r>
      <w:r w:rsidR="00992064">
        <w:rPr>
          <w:rFonts w:ascii="Arial" w:hAnsi="Arial" w:cs="Arial"/>
          <w:sz w:val="20"/>
          <w:szCs w:val="20"/>
        </w:rPr>
        <w:t>rent investing landscape (including</w:t>
      </w:r>
      <w:r w:rsidR="00CD29AF">
        <w:rPr>
          <w:rFonts w:ascii="Arial" w:hAnsi="Arial" w:cs="Arial"/>
          <w:sz w:val="20"/>
          <w:szCs w:val="20"/>
        </w:rPr>
        <w:t xml:space="preserve"> a </w:t>
      </w:r>
      <w:hyperlink r:id="rId8" w:history="1">
        <w:r w:rsidR="00CD29AF" w:rsidRPr="00CD29AF">
          <w:rPr>
            <w:rStyle w:val="Hyperlink"/>
            <w:rFonts w:ascii="Arial" w:hAnsi="Arial" w:cs="Arial"/>
            <w:sz w:val="20"/>
            <w:szCs w:val="20"/>
          </w:rPr>
          <w:t>short video</w:t>
        </w:r>
      </w:hyperlink>
      <w:r w:rsidR="00CD29AF">
        <w:rPr>
          <w:rFonts w:ascii="Arial" w:hAnsi="Arial" w:cs="Arial"/>
          <w:sz w:val="20"/>
          <w:szCs w:val="20"/>
        </w:rPr>
        <w:t xml:space="preserve"> on how to approach market volatility</w:t>
      </w:r>
      <w:r w:rsidR="00992064">
        <w:rPr>
          <w:rFonts w:ascii="Arial" w:hAnsi="Arial" w:cs="Arial"/>
          <w:sz w:val="20"/>
          <w:szCs w:val="20"/>
        </w:rPr>
        <w:t>).</w:t>
      </w:r>
    </w:p>
    <w:p w14:paraId="6CCDA6B8" w14:textId="38038946" w:rsidR="00441360" w:rsidRDefault="00D87195" w:rsidP="00295C61">
      <w:pPr>
        <w:rPr>
          <w:rFonts w:ascii="Arial" w:hAnsi="Arial" w:cs="Arial"/>
          <w:sz w:val="20"/>
          <w:szCs w:val="20"/>
        </w:rPr>
      </w:pPr>
      <w:r>
        <w:rPr>
          <w:rFonts w:ascii="Arial" w:hAnsi="Arial" w:cs="Arial"/>
          <w:sz w:val="20"/>
          <w:szCs w:val="20"/>
        </w:rPr>
        <w:t>A</w:t>
      </w:r>
      <w:r w:rsidR="00686B78">
        <w:rPr>
          <w:rFonts w:ascii="Arial" w:hAnsi="Arial" w:cs="Arial"/>
          <w:sz w:val="20"/>
          <w:szCs w:val="20"/>
        </w:rPr>
        <w:t>s always</w:t>
      </w:r>
      <w:r w:rsidR="00992064">
        <w:rPr>
          <w:rFonts w:ascii="Arial" w:hAnsi="Arial" w:cs="Arial"/>
          <w:sz w:val="20"/>
          <w:szCs w:val="20"/>
        </w:rPr>
        <w:t>,</w:t>
      </w:r>
      <w:r w:rsidR="00686B78">
        <w:rPr>
          <w:rFonts w:ascii="Arial" w:hAnsi="Arial" w:cs="Arial"/>
          <w:sz w:val="20"/>
          <w:szCs w:val="20"/>
        </w:rPr>
        <w:t xml:space="preserve"> please feel free </w:t>
      </w:r>
      <w:r w:rsidR="00351D3D">
        <w:rPr>
          <w:rFonts w:ascii="Arial" w:hAnsi="Arial" w:cs="Arial"/>
          <w:sz w:val="20"/>
          <w:szCs w:val="20"/>
        </w:rPr>
        <w:t xml:space="preserve">to </w:t>
      </w:r>
      <w:r w:rsidR="00686B78">
        <w:rPr>
          <w:rFonts w:ascii="Arial" w:hAnsi="Arial" w:cs="Arial"/>
          <w:sz w:val="20"/>
          <w:szCs w:val="20"/>
        </w:rPr>
        <w:t xml:space="preserve">reach out to me should you have additional questions or would like to discuss your </w:t>
      </w:r>
      <w:r w:rsidR="00E8130C">
        <w:rPr>
          <w:rFonts w:ascii="Arial" w:hAnsi="Arial" w:cs="Arial"/>
          <w:sz w:val="20"/>
          <w:szCs w:val="20"/>
        </w:rPr>
        <w:t>portfolio</w:t>
      </w:r>
      <w:r w:rsidR="00C33A0D">
        <w:rPr>
          <w:rFonts w:ascii="Arial" w:hAnsi="Arial" w:cs="Arial"/>
          <w:sz w:val="20"/>
          <w:szCs w:val="20"/>
        </w:rPr>
        <w:t xml:space="preserve"> or situation.</w:t>
      </w:r>
      <w:r w:rsidR="00790832">
        <w:rPr>
          <w:rFonts w:ascii="Arial" w:hAnsi="Arial" w:cs="Arial"/>
          <w:sz w:val="20"/>
          <w:szCs w:val="20"/>
        </w:rPr>
        <w:t xml:space="preserve"> </w:t>
      </w:r>
      <w:r w:rsidR="00790832" w:rsidRPr="00790832">
        <w:rPr>
          <w:rFonts w:ascii="Arial" w:hAnsi="Arial" w:cs="Arial"/>
          <w:sz w:val="20"/>
          <w:szCs w:val="20"/>
          <w:highlight w:val="yellow"/>
        </w:rPr>
        <w:t>(</w:t>
      </w:r>
      <w:proofErr w:type="gramStart"/>
      <w:r w:rsidR="00790832" w:rsidRPr="00790832">
        <w:rPr>
          <w:rFonts w:ascii="Arial" w:hAnsi="Arial" w:cs="Arial"/>
          <w:sz w:val="20"/>
          <w:szCs w:val="20"/>
          <w:highlight w:val="yellow"/>
        </w:rPr>
        <w:t>can</w:t>
      </w:r>
      <w:proofErr w:type="gramEnd"/>
      <w:r w:rsidR="00790832" w:rsidRPr="00790832">
        <w:rPr>
          <w:rFonts w:ascii="Arial" w:hAnsi="Arial" w:cs="Arial"/>
          <w:sz w:val="20"/>
          <w:szCs w:val="20"/>
          <w:highlight w:val="yellow"/>
        </w:rPr>
        <w:t xml:space="preserve"> personalize or even suggest dates)</w:t>
      </w:r>
    </w:p>
    <w:p w14:paraId="5E15396E" w14:textId="77777777" w:rsidR="00790832" w:rsidRPr="00C146BC" w:rsidRDefault="00790832" w:rsidP="00295C61">
      <w:pPr>
        <w:rPr>
          <w:rFonts w:ascii="Arial" w:hAnsi="Arial" w:cs="Arial"/>
          <w:sz w:val="20"/>
          <w:szCs w:val="20"/>
        </w:rPr>
      </w:pPr>
    </w:p>
    <w:p w14:paraId="37AB3C11" w14:textId="04A001EE" w:rsidR="00A5421D" w:rsidRPr="00856A2A" w:rsidRDefault="00686B78" w:rsidP="00295C61">
      <w:pPr>
        <w:rPr>
          <w:rFonts w:ascii="Georgia" w:hAnsi="Georgia" w:cs="Arial"/>
          <w:i/>
          <w:iCs/>
          <w:sz w:val="24"/>
          <w:szCs w:val="24"/>
          <w:u w:val="single"/>
        </w:rPr>
      </w:pPr>
      <w:r w:rsidRPr="00856A2A">
        <w:rPr>
          <w:rFonts w:ascii="Georgia" w:hAnsi="Georgia" w:cs="Arial"/>
          <w:i/>
          <w:iCs/>
          <w:sz w:val="24"/>
          <w:szCs w:val="24"/>
          <w:u w:val="single"/>
        </w:rPr>
        <w:t xml:space="preserve">Recent Market </w:t>
      </w:r>
      <w:r w:rsidR="00A5421D" w:rsidRPr="00856A2A">
        <w:rPr>
          <w:rFonts w:ascii="Georgia" w:hAnsi="Georgia" w:cs="Arial"/>
          <w:i/>
          <w:iCs/>
          <w:sz w:val="24"/>
          <w:szCs w:val="24"/>
          <w:u w:val="single"/>
        </w:rPr>
        <w:t>Drivers</w:t>
      </w:r>
    </w:p>
    <w:p w14:paraId="3F60F171" w14:textId="7607228E" w:rsidR="002C312A" w:rsidRPr="00856A2A" w:rsidRDefault="00E71F44" w:rsidP="00295C61">
      <w:pPr>
        <w:rPr>
          <w:rFonts w:ascii="Arial" w:hAnsi="Arial" w:cs="Arial"/>
          <w:i/>
          <w:iCs/>
          <w:sz w:val="20"/>
          <w:szCs w:val="20"/>
        </w:rPr>
      </w:pPr>
      <w:r w:rsidRPr="00856A2A">
        <w:rPr>
          <w:rFonts w:ascii="Arial" w:hAnsi="Arial" w:cs="Arial"/>
          <w:i/>
          <w:iCs/>
          <w:sz w:val="20"/>
          <w:szCs w:val="20"/>
        </w:rPr>
        <w:t>W</w:t>
      </w:r>
      <w:r w:rsidR="00850770" w:rsidRPr="00856A2A">
        <w:rPr>
          <w:rFonts w:ascii="Arial" w:hAnsi="Arial" w:cs="Arial"/>
          <w:i/>
          <w:iCs/>
          <w:sz w:val="20"/>
          <w:szCs w:val="20"/>
        </w:rPr>
        <w:t xml:space="preserve">e entered 2022 </w:t>
      </w:r>
      <w:r w:rsidR="00C33A0D">
        <w:rPr>
          <w:rFonts w:ascii="Arial" w:hAnsi="Arial" w:cs="Arial"/>
          <w:i/>
          <w:iCs/>
          <w:sz w:val="20"/>
          <w:szCs w:val="20"/>
        </w:rPr>
        <w:t>highlighting</w:t>
      </w:r>
      <w:r w:rsidR="00850770" w:rsidRPr="00856A2A">
        <w:rPr>
          <w:rFonts w:ascii="Arial" w:hAnsi="Arial" w:cs="Arial"/>
          <w:i/>
          <w:iCs/>
          <w:sz w:val="20"/>
          <w:szCs w:val="20"/>
        </w:rPr>
        <w:t xml:space="preserve"> four </w:t>
      </w:r>
      <w:hyperlink r:id="rId9" w:history="1">
        <w:r w:rsidR="00850770" w:rsidRPr="00856A2A">
          <w:rPr>
            <w:rStyle w:val="Hyperlink"/>
            <w:rFonts w:ascii="Arial" w:hAnsi="Arial" w:cs="Arial"/>
            <w:i/>
            <w:iCs/>
            <w:sz w:val="20"/>
            <w:szCs w:val="20"/>
          </w:rPr>
          <w:t>key</w:t>
        </w:r>
        <w:r w:rsidRPr="00856A2A">
          <w:rPr>
            <w:rStyle w:val="Hyperlink"/>
            <w:rFonts w:ascii="Arial" w:hAnsi="Arial" w:cs="Arial"/>
            <w:i/>
            <w:iCs/>
            <w:sz w:val="20"/>
            <w:szCs w:val="20"/>
          </w:rPr>
          <w:t xml:space="preserve"> potential</w:t>
        </w:r>
        <w:r w:rsidR="00850770" w:rsidRPr="00856A2A">
          <w:rPr>
            <w:rStyle w:val="Hyperlink"/>
            <w:rFonts w:ascii="Arial" w:hAnsi="Arial" w:cs="Arial"/>
            <w:i/>
            <w:iCs/>
            <w:sz w:val="20"/>
            <w:szCs w:val="20"/>
          </w:rPr>
          <w:t xml:space="preserve"> drivers of returns</w:t>
        </w:r>
      </w:hyperlink>
      <w:r w:rsidR="00850770" w:rsidRPr="00856A2A">
        <w:rPr>
          <w:rFonts w:ascii="Arial" w:hAnsi="Arial" w:cs="Arial"/>
          <w:i/>
          <w:iCs/>
          <w:sz w:val="20"/>
          <w:szCs w:val="20"/>
        </w:rPr>
        <w:t xml:space="preserve"> – </w:t>
      </w:r>
      <w:r w:rsidR="001508A8" w:rsidRPr="00856A2A">
        <w:rPr>
          <w:rFonts w:ascii="Arial" w:hAnsi="Arial" w:cs="Arial"/>
          <w:i/>
          <w:iCs/>
          <w:sz w:val="20"/>
          <w:szCs w:val="20"/>
        </w:rPr>
        <w:t>F</w:t>
      </w:r>
      <w:r w:rsidR="00850770" w:rsidRPr="00856A2A">
        <w:rPr>
          <w:rFonts w:ascii="Arial" w:hAnsi="Arial" w:cs="Arial"/>
          <w:i/>
          <w:iCs/>
          <w:sz w:val="20"/>
          <w:szCs w:val="20"/>
        </w:rPr>
        <w:t>rom Pandemic to Endemic, Policy Maker Tightrope, Inflation, and Volatility Ahead.</w:t>
      </w:r>
      <w:r w:rsidR="00435333">
        <w:rPr>
          <w:rFonts w:ascii="Arial" w:hAnsi="Arial" w:cs="Arial"/>
          <w:i/>
          <w:iCs/>
          <w:sz w:val="20"/>
          <w:szCs w:val="20"/>
        </w:rPr>
        <w:t xml:space="preserve"> </w:t>
      </w:r>
      <w:r w:rsidR="00C33A0D">
        <w:rPr>
          <w:rFonts w:ascii="Arial" w:hAnsi="Arial" w:cs="Arial"/>
          <w:i/>
          <w:iCs/>
          <w:sz w:val="20"/>
          <w:szCs w:val="20"/>
        </w:rPr>
        <w:t xml:space="preserve">While these drivers have </w:t>
      </w:r>
      <w:r w:rsidR="001F58C0">
        <w:rPr>
          <w:rFonts w:ascii="Arial" w:hAnsi="Arial" w:cs="Arial"/>
          <w:i/>
          <w:iCs/>
          <w:sz w:val="20"/>
          <w:szCs w:val="20"/>
        </w:rPr>
        <w:t>unfolded in a more pronounced manner than anticipated</w:t>
      </w:r>
      <w:r w:rsidR="00C33A0D">
        <w:rPr>
          <w:rFonts w:ascii="Arial" w:hAnsi="Arial" w:cs="Arial"/>
          <w:i/>
          <w:iCs/>
          <w:sz w:val="20"/>
          <w:szCs w:val="20"/>
        </w:rPr>
        <w:t xml:space="preserve">, we </w:t>
      </w:r>
      <w:r w:rsidR="00790832">
        <w:rPr>
          <w:rFonts w:ascii="Arial" w:hAnsi="Arial" w:cs="Arial"/>
          <w:i/>
          <w:iCs/>
          <w:sz w:val="20"/>
          <w:szCs w:val="20"/>
        </w:rPr>
        <w:t xml:space="preserve">believe </w:t>
      </w:r>
      <w:r w:rsidR="00C33A0D">
        <w:rPr>
          <w:rFonts w:ascii="Arial" w:hAnsi="Arial" w:cs="Arial"/>
          <w:i/>
          <w:iCs/>
          <w:sz w:val="20"/>
          <w:szCs w:val="20"/>
        </w:rPr>
        <w:t xml:space="preserve">these </w:t>
      </w:r>
      <w:r w:rsidR="00435333">
        <w:rPr>
          <w:rFonts w:ascii="Arial" w:hAnsi="Arial" w:cs="Arial"/>
          <w:i/>
          <w:iCs/>
          <w:sz w:val="20"/>
          <w:szCs w:val="20"/>
        </w:rPr>
        <w:t>factors will continue to influence markets.</w:t>
      </w:r>
    </w:p>
    <w:p w14:paraId="375CBE5E" w14:textId="0671BA0F" w:rsidR="00C146BC" w:rsidRPr="00856A2A" w:rsidRDefault="003B0841" w:rsidP="00295C61">
      <w:pPr>
        <w:rPr>
          <w:rFonts w:ascii="Arial" w:eastAsia="Times New Roman" w:hAnsi="Arial" w:cs="Arial"/>
          <w:i/>
          <w:iCs/>
          <w:color w:val="000000"/>
          <w:sz w:val="20"/>
          <w:szCs w:val="20"/>
          <w:bdr w:val="none" w:sz="0" w:space="0" w:color="auto" w:frame="1"/>
        </w:rPr>
      </w:pPr>
      <w:r>
        <w:rPr>
          <w:rFonts w:ascii="Arial" w:hAnsi="Arial" w:cs="Arial"/>
          <w:i/>
          <w:iCs/>
          <w:sz w:val="20"/>
          <w:szCs w:val="20"/>
        </w:rPr>
        <w:t xml:space="preserve">As </w:t>
      </w:r>
      <w:r w:rsidR="0069514A">
        <w:rPr>
          <w:rFonts w:ascii="Arial" w:hAnsi="Arial" w:cs="Arial"/>
          <w:i/>
          <w:iCs/>
          <w:sz w:val="20"/>
          <w:szCs w:val="20"/>
        </w:rPr>
        <w:t xml:space="preserve">we </w:t>
      </w:r>
      <w:r>
        <w:rPr>
          <w:rFonts w:ascii="Arial" w:hAnsi="Arial" w:cs="Arial"/>
          <w:i/>
          <w:iCs/>
          <w:sz w:val="20"/>
          <w:szCs w:val="20"/>
        </w:rPr>
        <w:t xml:space="preserve">wrote in our most recent </w:t>
      </w:r>
      <w:hyperlink r:id="rId10" w:history="1">
        <w:r w:rsidRPr="003B0841">
          <w:rPr>
            <w:rStyle w:val="Hyperlink"/>
            <w:rFonts w:ascii="Arial" w:hAnsi="Arial" w:cs="Arial"/>
            <w:i/>
            <w:iCs/>
            <w:sz w:val="20"/>
            <w:szCs w:val="20"/>
          </w:rPr>
          <w:t>April Market Commentary</w:t>
        </w:r>
      </w:hyperlink>
      <w:r>
        <w:rPr>
          <w:rFonts w:ascii="Arial" w:hAnsi="Arial" w:cs="Arial"/>
          <w:i/>
          <w:iCs/>
          <w:sz w:val="20"/>
          <w:szCs w:val="20"/>
        </w:rPr>
        <w:t>, t</w:t>
      </w:r>
      <w:r w:rsidR="00A5421D" w:rsidRPr="00856A2A">
        <w:rPr>
          <w:rFonts w:ascii="Arial" w:hAnsi="Arial" w:cs="Arial"/>
          <w:i/>
          <w:iCs/>
          <w:sz w:val="20"/>
          <w:szCs w:val="20"/>
        </w:rPr>
        <w:t>he feedback loop of high inflation leading to higher interest rates has had a material impact across markets.</w:t>
      </w:r>
      <w:r w:rsidR="00435333">
        <w:rPr>
          <w:rFonts w:ascii="Arial" w:hAnsi="Arial" w:cs="Arial"/>
          <w:i/>
          <w:iCs/>
          <w:sz w:val="20"/>
          <w:szCs w:val="20"/>
        </w:rPr>
        <w:t xml:space="preserve"> Futures markets</w:t>
      </w:r>
      <w:r w:rsidR="006E4AE1" w:rsidRPr="00856A2A">
        <w:rPr>
          <w:rFonts w:ascii="Arial" w:hAnsi="Arial" w:cs="Arial"/>
          <w:i/>
          <w:iCs/>
          <w:sz w:val="20"/>
          <w:szCs w:val="20"/>
        </w:rPr>
        <w:t xml:space="preserve"> </w:t>
      </w:r>
      <w:r w:rsidR="00C146BC" w:rsidRPr="00856A2A">
        <w:rPr>
          <w:rFonts w:ascii="Arial" w:hAnsi="Arial" w:cs="Arial"/>
          <w:i/>
          <w:iCs/>
          <w:sz w:val="20"/>
          <w:szCs w:val="20"/>
        </w:rPr>
        <w:t xml:space="preserve">are currently </w:t>
      </w:r>
      <w:r w:rsidR="006E4AE1" w:rsidRPr="00856A2A">
        <w:rPr>
          <w:rFonts w:ascii="Arial" w:hAnsi="Arial" w:cs="Arial"/>
          <w:i/>
          <w:iCs/>
          <w:sz w:val="20"/>
          <w:szCs w:val="20"/>
        </w:rPr>
        <w:t xml:space="preserve">pricing </w:t>
      </w:r>
      <w:r w:rsidR="0069514A">
        <w:rPr>
          <w:rFonts w:ascii="Arial" w:hAnsi="Arial" w:cs="Arial"/>
          <w:i/>
          <w:iCs/>
          <w:sz w:val="20"/>
          <w:szCs w:val="20"/>
        </w:rPr>
        <w:t>in as many as ten (10)</w:t>
      </w:r>
      <w:r w:rsidR="006E4AE1" w:rsidRPr="00856A2A">
        <w:rPr>
          <w:rFonts w:ascii="Arial" w:hAnsi="Arial" w:cs="Arial"/>
          <w:i/>
          <w:iCs/>
          <w:sz w:val="20"/>
          <w:szCs w:val="20"/>
        </w:rPr>
        <w:t xml:space="preserve"> rate hikes in 2022</w:t>
      </w:r>
      <w:r w:rsidR="0069514A">
        <w:rPr>
          <w:rFonts w:ascii="Arial" w:hAnsi="Arial" w:cs="Arial"/>
          <w:i/>
          <w:iCs/>
          <w:sz w:val="20"/>
          <w:szCs w:val="20"/>
        </w:rPr>
        <w:t>, potentially resulting in a</w:t>
      </w:r>
      <w:r w:rsidR="00C146BC" w:rsidRPr="00856A2A">
        <w:rPr>
          <w:rFonts w:ascii="Arial" w:hAnsi="Arial" w:cs="Arial"/>
          <w:i/>
          <w:iCs/>
          <w:sz w:val="20"/>
          <w:szCs w:val="20"/>
        </w:rPr>
        <w:t xml:space="preserve"> Fed Funds rate </w:t>
      </w:r>
      <w:r w:rsidR="0069514A">
        <w:rPr>
          <w:rFonts w:ascii="Arial" w:hAnsi="Arial" w:cs="Arial"/>
          <w:i/>
          <w:iCs/>
          <w:sz w:val="20"/>
          <w:szCs w:val="20"/>
        </w:rPr>
        <w:t>of</w:t>
      </w:r>
      <w:r w:rsidR="00C146BC" w:rsidRPr="00856A2A">
        <w:rPr>
          <w:rFonts w:ascii="Arial" w:hAnsi="Arial" w:cs="Arial"/>
          <w:i/>
          <w:iCs/>
          <w:sz w:val="20"/>
          <w:szCs w:val="20"/>
        </w:rPr>
        <w:t xml:space="preserve"> 3</w:t>
      </w:r>
      <w:r w:rsidR="00862C39">
        <w:rPr>
          <w:rFonts w:ascii="Arial" w:hAnsi="Arial" w:cs="Arial"/>
          <w:i/>
          <w:iCs/>
          <w:sz w:val="20"/>
          <w:szCs w:val="20"/>
        </w:rPr>
        <w:t>.0</w:t>
      </w:r>
      <w:r w:rsidR="00C146BC" w:rsidRPr="00856A2A">
        <w:rPr>
          <w:rFonts w:ascii="Arial" w:hAnsi="Arial" w:cs="Arial"/>
          <w:i/>
          <w:iCs/>
          <w:sz w:val="20"/>
          <w:szCs w:val="20"/>
        </w:rPr>
        <w:t xml:space="preserve"> – 3.</w:t>
      </w:r>
      <w:r w:rsidR="00862C39">
        <w:rPr>
          <w:rFonts w:ascii="Arial" w:hAnsi="Arial" w:cs="Arial"/>
          <w:i/>
          <w:iCs/>
          <w:sz w:val="20"/>
          <w:szCs w:val="20"/>
        </w:rPr>
        <w:t>2</w:t>
      </w:r>
      <w:r w:rsidR="00C146BC" w:rsidRPr="00856A2A">
        <w:rPr>
          <w:rFonts w:ascii="Arial" w:hAnsi="Arial" w:cs="Arial"/>
          <w:i/>
          <w:iCs/>
          <w:sz w:val="20"/>
          <w:szCs w:val="20"/>
        </w:rPr>
        <w:t>5 percent by December</w:t>
      </w:r>
      <w:r w:rsidR="0069514A">
        <w:rPr>
          <w:rFonts w:ascii="Arial" w:hAnsi="Arial" w:cs="Arial"/>
          <w:i/>
          <w:iCs/>
          <w:sz w:val="20"/>
          <w:szCs w:val="20"/>
        </w:rPr>
        <w:t xml:space="preserve"> (substantially higher than the</w:t>
      </w:r>
      <w:r w:rsidR="00C146BC" w:rsidRPr="00856A2A">
        <w:rPr>
          <w:rFonts w:ascii="Arial" w:hAnsi="Arial" w:cs="Arial"/>
          <w:i/>
          <w:iCs/>
          <w:sz w:val="20"/>
          <w:szCs w:val="20"/>
        </w:rPr>
        <w:t xml:space="preserve"> 0.</w:t>
      </w:r>
      <w:r w:rsidR="00686B78" w:rsidRPr="00856A2A">
        <w:rPr>
          <w:rFonts w:ascii="Arial" w:hAnsi="Arial" w:cs="Arial"/>
          <w:i/>
          <w:iCs/>
          <w:sz w:val="20"/>
          <w:szCs w:val="20"/>
        </w:rPr>
        <w:t>0</w:t>
      </w:r>
      <w:r w:rsidR="00C146BC" w:rsidRPr="00856A2A">
        <w:rPr>
          <w:rFonts w:ascii="Arial" w:hAnsi="Arial" w:cs="Arial"/>
          <w:i/>
          <w:iCs/>
          <w:sz w:val="20"/>
          <w:szCs w:val="20"/>
        </w:rPr>
        <w:t xml:space="preserve"> – 0.</w:t>
      </w:r>
      <w:r w:rsidR="00686B78" w:rsidRPr="00856A2A">
        <w:rPr>
          <w:rFonts w:ascii="Arial" w:hAnsi="Arial" w:cs="Arial"/>
          <w:i/>
          <w:iCs/>
          <w:sz w:val="20"/>
          <w:szCs w:val="20"/>
        </w:rPr>
        <w:t>2</w:t>
      </w:r>
      <w:r w:rsidR="00C146BC" w:rsidRPr="00856A2A">
        <w:rPr>
          <w:rFonts w:ascii="Arial" w:hAnsi="Arial" w:cs="Arial"/>
          <w:i/>
          <w:iCs/>
          <w:sz w:val="20"/>
          <w:szCs w:val="20"/>
        </w:rPr>
        <w:t xml:space="preserve">5 </w:t>
      </w:r>
      <w:r w:rsidR="0069514A">
        <w:rPr>
          <w:rFonts w:ascii="Arial" w:hAnsi="Arial" w:cs="Arial"/>
          <w:i/>
          <w:iCs/>
          <w:sz w:val="20"/>
          <w:szCs w:val="20"/>
        </w:rPr>
        <w:t xml:space="preserve">percent </w:t>
      </w:r>
      <w:r w:rsidR="00C146BC" w:rsidRPr="00856A2A">
        <w:rPr>
          <w:rFonts w:ascii="Arial" w:hAnsi="Arial" w:cs="Arial"/>
          <w:i/>
          <w:iCs/>
          <w:sz w:val="20"/>
          <w:szCs w:val="20"/>
        </w:rPr>
        <w:t xml:space="preserve">range </w:t>
      </w:r>
      <w:r w:rsidR="0069514A">
        <w:rPr>
          <w:rFonts w:ascii="Arial" w:hAnsi="Arial" w:cs="Arial"/>
          <w:i/>
          <w:iCs/>
          <w:sz w:val="20"/>
          <w:szCs w:val="20"/>
        </w:rPr>
        <w:t xml:space="preserve">in place </w:t>
      </w:r>
      <w:r w:rsidR="007E6581" w:rsidRPr="00856A2A">
        <w:rPr>
          <w:rFonts w:ascii="Arial" w:hAnsi="Arial" w:cs="Arial"/>
          <w:i/>
          <w:iCs/>
          <w:sz w:val="20"/>
          <w:szCs w:val="20"/>
        </w:rPr>
        <w:t>at the</w:t>
      </w:r>
      <w:r w:rsidR="00686B78" w:rsidRPr="00856A2A">
        <w:rPr>
          <w:rFonts w:ascii="Arial" w:hAnsi="Arial" w:cs="Arial"/>
          <w:i/>
          <w:iCs/>
          <w:sz w:val="20"/>
          <w:szCs w:val="20"/>
        </w:rPr>
        <w:t xml:space="preserve"> </w:t>
      </w:r>
      <w:r w:rsidR="007E6581" w:rsidRPr="00856A2A">
        <w:rPr>
          <w:rFonts w:ascii="Arial" w:hAnsi="Arial" w:cs="Arial"/>
          <w:i/>
          <w:iCs/>
          <w:sz w:val="20"/>
          <w:szCs w:val="20"/>
        </w:rPr>
        <w:t>beginning of</w:t>
      </w:r>
      <w:r w:rsidR="00686B78" w:rsidRPr="00856A2A">
        <w:rPr>
          <w:rFonts w:ascii="Arial" w:hAnsi="Arial" w:cs="Arial"/>
          <w:i/>
          <w:iCs/>
          <w:sz w:val="20"/>
          <w:szCs w:val="20"/>
        </w:rPr>
        <w:t xml:space="preserve"> the year</w:t>
      </w:r>
      <w:r w:rsidR="0069514A">
        <w:rPr>
          <w:rFonts w:ascii="Arial" w:hAnsi="Arial" w:cs="Arial"/>
          <w:i/>
          <w:iCs/>
          <w:sz w:val="20"/>
          <w:szCs w:val="20"/>
        </w:rPr>
        <w:t>)</w:t>
      </w:r>
      <w:r w:rsidR="00C146BC" w:rsidRPr="00856A2A">
        <w:rPr>
          <w:rFonts w:ascii="Arial" w:hAnsi="Arial" w:cs="Arial"/>
          <w:i/>
          <w:iCs/>
          <w:sz w:val="20"/>
          <w:szCs w:val="20"/>
        </w:rPr>
        <w:t xml:space="preserve">. </w:t>
      </w:r>
      <w:r w:rsidR="00C146BC" w:rsidRPr="00856A2A">
        <w:rPr>
          <w:rFonts w:ascii="Arial" w:eastAsia="Times New Roman" w:hAnsi="Arial" w:cs="Arial"/>
          <w:i/>
          <w:iCs/>
          <w:color w:val="000000"/>
          <w:sz w:val="20"/>
          <w:szCs w:val="20"/>
          <w:bdr w:val="none" w:sz="0" w:space="0" w:color="auto" w:frame="1"/>
        </w:rPr>
        <w:t>If predictions become reality</w:t>
      </w:r>
      <w:r w:rsidR="0069514A">
        <w:rPr>
          <w:rFonts w:ascii="Arial" w:eastAsia="Times New Roman" w:hAnsi="Arial" w:cs="Arial"/>
          <w:i/>
          <w:iCs/>
          <w:color w:val="000000"/>
          <w:sz w:val="20"/>
          <w:szCs w:val="20"/>
          <w:bdr w:val="none" w:sz="0" w:space="0" w:color="auto" w:frame="1"/>
        </w:rPr>
        <w:t>, this outcome</w:t>
      </w:r>
      <w:r w:rsidR="00C146BC" w:rsidRPr="00856A2A">
        <w:rPr>
          <w:rFonts w:ascii="Arial" w:eastAsia="Times New Roman" w:hAnsi="Arial" w:cs="Arial"/>
          <w:i/>
          <w:iCs/>
          <w:color w:val="000000"/>
          <w:sz w:val="20"/>
          <w:szCs w:val="20"/>
          <w:bdr w:val="none" w:sz="0" w:space="0" w:color="auto" w:frame="1"/>
        </w:rPr>
        <w:t xml:space="preserve"> would mark the most </w:t>
      </w:r>
      <w:r w:rsidR="0069514A">
        <w:rPr>
          <w:rFonts w:ascii="Arial" w:eastAsia="Times New Roman" w:hAnsi="Arial" w:cs="Arial"/>
          <w:i/>
          <w:iCs/>
          <w:color w:val="000000"/>
          <w:sz w:val="20"/>
          <w:szCs w:val="20"/>
          <w:bdr w:val="none" w:sz="0" w:space="0" w:color="auto" w:frame="1"/>
        </w:rPr>
        <w:t>h</w:t>
      </w:r>
      <w:r w:rsidR="00C146BC" w:rsidRPr="00856A2A">
        <w:rPr>
          <w:rFonts w:ascii="Arial" w:eastAsia="Times New Roman" w:hAnsi="Arial" w:cs="Arial"/>
          <w:i/>
          <w:iCs/>
          <w:color w:val="000000"/>
          <w:sz w:val="20"/>
          <w:szCs w:val="20"/>
          <w:bdr w:val="none" w:sz="0" w:space="0" w:color="auto" w:frame="1"/>
        </w:rPr>
        <w:t>awkish move by the Fed since 1994</w:t>
      </w:r>
      <w:r w:rsidR="0069514A">
        <w:rPr>
          <w:rFonts w:ascii="Arial" w:eastAsia="Times New Roman" w:hAnsi="Arial" w:cs="Arial"/>
          <w:i/>
          <w:iCs/>
          <w:color w:val="000000"/>
          <w:sz w:val="20"/>
          <w:szCs w:val="20"/>
          <w:bdr w:val="none" w:sz="0" w:space="0" w:color="auto" w:frame="1"/>
        </w:rPr>
        <w:t>,</w:t>
      </w:r>
      <w:r w:rsidR="00C146BC" w:rsidRPr="00856A2A">
        <w:rPr>
          <w:rFonts w:ascii="Arial" w:eastAsia="Times New Roman" w:hAnsi="Arial" w:cs="Arial"/>
          <w:i/>
          <w:iCs/>
          <w:color w:val="000000"/>
          <w:sz w:val="20"/>
          <w:szCs w:val="20"/>
          <w:bdr w:val="none" w:sz="0" w:space="0" w:color="auto" w:frame="1"/>
        </w:rPr>
        <w:t xml:space="preserve"> when then Fed chair Alan Greenspan increased rates by 3.0 percent over </w:t>
      </w:r>
      <w:r w:rsidR="0069514A">
        <w:rPr>
          <w:rFonts w:ascii="Arial" w:eastAsia="Times New Roman" w:hAnsi="Arial" w:cs="Arial"/>
          <w:i/>
          <w:iCs/>
          <w:color w:val="000000"/>
          <w:sz w:val="20"/>
          <w:szCs w:val="20"/>
          <w:bdr w:val="none" w:sz="0" w:space="0" w:color="auto" w:frame="1"/>
        </w:rPr>
        <w:t xml:space="preserve">the course of </w:t>
      </w:r>
      <w:r w:rsidR="00C146BC" w:rsidRPr="00856A2A">
        <w:rPr>
          <w:rFonts w:ascii="Arial" w:eastAsia="Times New Roman" w:hAnsi="Arial" w:cs="Arial"/>
          <w:i/>
          <w:iCs/>
          <w:color w:val="000000"/>
          <w:sz w:val="20"/>
          <w:szCs w:val="20"/>
          <w:bdr w:val="none" w:sz="0" w:space="0" w:color="auto" w:frame="1"/>
        </w:rPr>
        <w:t xml:space="preserve">a year. </w:t>
      </w:r>
    </w:p>
    <w:p w14:paraId="68258A0E" w14:textId="01205869" w:rsidR="006E4AE1" w:rsidRDefault="00C834BF" w:rsidP="00295C61">
      <w:pPr>
        <w:rPr>
          <w:rFonts w:ascii="Arial" w:hAnsi="Arial" w:cs="Arial"/>
          <w:i/>
          <w:iCs/>
          <w:sz w:val="20"/>
          <w:szCs w:val="20"/>
        </w:rPr>
      </w:pPr>
      <w:r>
        <w:rPr>
          <w:rFonts w:ascii="Arial" w:hAnsi="Arial" w:cs="Arial"/>
          <w:i/>
          <w:iCs/>
          <w:sz w:val="20"/>
          <w:szCs w:val="20"/>
        </w:rPr>
        <w:t xml:space="preserve">The movement to meaningfully higher interest rates has materially afflicted bonds with the </w:t>
      </w:r>
      <w:r w:rsidR="00A5421D" w:rsidRPr="00856A2A">
        <w:rPr>
          <w:rFonts w:ascii="Arial" w:hAnsi="Arial" w:cs="Arial"/>
          <w:i/>
          <w:iCs/>
          <w:sz w:val="20"/>
          <w:szCs w:val="20"/>
        </w:rPr>
        <w:t xml:space="preserve">Bloomberg Aggregate Bond </w:t>
      </w:r>
      <w:r w:rsidR="002C312A" w:rsidRPr="00856A2A">
        <w:rPr>
          <w:rFonts w:ascii="Arial" w:hAnsi="Arial" w:cs="Arial"/>
          <w:i/>
          <w:iCs/>
          <w:sz w:val="20"/>
          <w:szCs w:val="20"/>
        </w:rPr>
        <w:t>I</w:t>
      </w:r>
      <w:r w:rsidR="00A5421D" w:rsidRPr="00856A2A">
        <w:rPr>
          <w:rFonts w:ascii="Arial" w:hAnsi="Arial" w:cs="Arial"/>
          <w:i/>
          <w:iCs/>
          <w:sz w:val="20"/>
          <w:szCs w:val="20"/>
        </w:rPr>
        <w:t xml:space="preserve">ndex </w:t>
      </w:r>
      <w:r>
        <w:rPr>
          <w:rFonts w:ascii="Arial" w:hAnsi="Arial" w:cs="Arial"/>
          <w:i/>
          <w:iCs/>
          <w:sz w:val="20"/>
          <w:szCs w:val="20"/>
        </w:rPr>
        <w:t xml:space="preserve">posting its worst </w:t>
      </w:r>
      <w:r w:rsidR="007428E6">
        <w:rPr>
          <w:rFonts w:ascii="Arial" w:hAnsi="Arial" w:cs="Arial"/>
          <w:i/>
          <w:iCs/>
          <w:sz w:val="20"/>
          <w:szCs w:val="20"/>
        </w:rPr>
        <w:t>four-month</w:t>
      </w:r>
      <w:r>
        <w:rPr>
          <w:rFonts w:ascii="Arial" w:hAnsi="Arial" w:cs="Arial"/>
          <w:i/>
          <w:iCs/>
          <w:sz w:val="20"/>
          <w:szCs w:val="20"/>
        </w:rPr>
        <w:t xml:space="preserve"> return (-9.5</w:t>
      </w:r>
      <w:r w:rsidR="00C8595F">
        <w:rPr>
          <w:rFonts w:ascii="Arial" w:hAnsi="Arial" w:cs="Arial"/>
          <w:i/>
          <w:iCs/>
          <w:sz w:val="20"/>
          <w:szCs w:val="20"/>
        </w:rPr>
        <w:t xml:space="preserve"> percent</w:t>
      </w:r>
      <w:r>
        <w:rPr>
          <w:rFonts w:ascii="Arial" w:hAnsi="Arial" w:cs="Arial"/>
          <w:i/>
          <w:iCs/>
          <w:sz w:val="20"/>
          <w:szCs w:val="20"/>
        </w:rPr>
        <w:t xml:space="preserve"> through the end of April) since the index incepted in 1976</w:t>
      </w:r>
      <w:r w:rsidR="00A5421D" w:rsidRPr="00856A2A">
        <w:rPr>
          <w:rFonts w:ascii="Arial" w:hAnsi="Arial" w:cs="Arial"/>
          <w:i/>
          <w:iCs/>
          <w:sz w:val="20"/>
          <w:szCs w:val="20"/>
        </w:rPr>
        <w:t xml:space="preserve">. Additionally, higher interest rates have </w:t>
      </w:r>
      <w:r>
        <w:rPr>
          <w:rFonts w:ascii="Arial" w:hAnsi="Arial" w:cs="Arial"/>
          <w:i/>
          <w:iCs/>
          <w:sz w:val="20"/>
          <w:szCs w:val="20"/>
        </w:rPr>
        <w:t>weighed</w:t>
      </w:r>
      <w:r w:rsidR="00A5421D" w:rsidRPr="00856A2A">
        <w:rPr>
          <w:rFonts w:ascii="Arial" w:hAnsi="Arial" w:cs="Arial"/>
          <w:i/>
          <w:iCs/>
          <w:sz w:val="20"/>
          <w:szCs w:val="20"/>
        </w:rPr>
        <w:t xml:space="preserve"> on highly valued stocks</w:t>
      </w:r>
      <w:r>
        <w:rPr>
          <w:rFonts w:ascii="Arial" w:hAnsi="Arial" w:cs="Arial"/>
          <w:i/>
          <w:iCs/>
          <w:sz w:val="20"/>
          <w:szCs w:val="20"/>
        </w:rPr>
        <w:t>, such as</w:t>
      </w:r>
      <w:r w:rsidR="00A5421D" w:rsidRPr="00856A2A">
        <w:rPr>
          <w:rFonts w:ascii="Arial" w:hAnsi="Arial" w:cs="Arial"/>
          <w:i/>
          <w:iCs/>
          <w:sz w:val="20"/>
          <w:szCs w:val="20"/>
        </w:rPr>
        <w:t xml:space="preserve"> those in the technology industry. </w:t>
      </w:r>
      <w:r w:rsidR="007428E6">
        <w:rPr>
          <w:rFonts w:ascii="Arial" w:hAnsi="Arial" w:cs="Arial"/>
          <w:i/>
          <w:iCs/>
          <w:sz w:val="20"/>
          <w:szCs w:val="20"/>
        </w:rPr>
        <w:t>Sixty-one</w:t>
      </w:r>
      <w:r w:rsidR="002C312A" w:rsidRPr="00856A2A">
        <w:rPr>
          <w:rFonts w:ascii="Arial" w:hAnsi="Arial" w:cs="Arial"/>
          <w:i/>
          <w:iCs/>
          <w:sz w:val="20"/>
          <w:szCs w:val="20"/>
        </w:rPr>
        <w:t xml:space="preserve"> </w:t>
      </w:r>
      <w:r w:rsidR="007428E6">
        <w:rPr>
          <w:rFonts w:ascii="Arial" w:hAnsi="Arial" w:cs="Arial"/>
          <w:i/>
          <w:iCs/>
          <w:sz w:val="20"/>
          <w:szCs w:val="20"/>
        </w:rPr>
        <w:t xml:space="preserve">(61) </w:t>
      </w:r>
      <w:r w:rsidR="002C312A" w:rsidRPr="00856A2A">
        <w:rPr>
          <w:rFonts w:ascii="Arial" w:hAnsi="Arial" w:cs="Arial"/>
          <w:i/>
          <w:iCs/>
          <w:sz w:val="20"/>
          <w:szCs w:val="20"/>
        </w:rPr>
        <w:t xml:space="preserve">percent of stocks in the technology-heavy NASDAQ are down 20 percent or more in 2022. </w:t>
      </w:r>
      <w:r w:rsidR="007428E6">
        <w:rPr>
          <w:rFonts w:ascii="Arial" w:hAnsi="Arial" w:cs="Arial"/>
          <w:i/>
          <w:iCs/>
          <w:sz w:val="20"/>
          <w:szCs w:val="20"/>
        </w:rPr>
        <w:t>Of note,</w:t>
      </w:r>
      <w:r w:rsidR="002C312A" w:rsidRPr="00856A2A">
        <w:rPr>
          <w:rFonts w:ascii="Arial" w:hAnsi="Arial" w:cs="Arial"/>
          <w:i/>
          <w:iCs/>
          <w:sz w:val="20"/>
          <w:szCs w:val="20"/>
        </w:rPr>
        <w:t xml:space="preserve"> 29 percent </w:t>
      </w:r>
      <w:r w:rsidR="007428E6">
        <w:rPr>
          <w:rFonts w:ascii="Arial" w:hAnsi="Arial" w:cs="Arial"/>
          <w:i/>
          <w:iCs/>
          <w:sz w:val="20"/>
          <w:szCs w:val="20"/>
        </w:rPr>
        <w:t xml:space="preserve">of these stocks </w:t>
      </w:r>
      <w:r w:rsidR="002C312A" w:rsidRPr="00856A2A">
        <w:rPr>
          <w:rFonts w:ascii="Arial" w:hAnsi="Arial" w:cs="Arial"/>
          <w:i/>
          <w:iCs/>
          <w:sz w:val="20"/>
          <w:szCs w:val="20"/>
        </w:rPr>
        <w:t xml:space="preserve">are down 60 percent or more over the same period. </w:t>
      </w:r>
      <w:r w:rsidR="00F75280" w:rsidRPr="00856A2A">
        <w:rPr>
          <w:rFonts w:ascii="Arial" w:hAnsi="Arial" w:cs="Arial"/>
          <w:i/>
          <w:iCs/>
          <w:sz w:val="20"/>
          <w:szCs w:val="20"/>
        </w:rPr>
        <w:t xml:space="preserve">Finally, </w:t>
      </w:r>
      <w:r w:rsidR="00441360" w:rsidRPr="00856A2A">
        <w:rPr>
          <w:rFonts w:ascii="Arial" w:hAnsi="Arial" w:cs="Arial"/>
          <w:i/>
          <w:iCs/>
          <w:sz w:val="20"/>
          <w:szCs w:val="20"/>
        </w:rPr>
        <w:t>rising</w:t>
      </w:r>
      <w:r w:rsidR="00F75280" w:rsidRPr="00856A2A">
        <w:rPr>
          <w:rFonts w:ascii="Arial" w:hAnsi="Arial" w:cs="Arial"/>
          <w:i/>
          <w:iCs/>
          <w:sz w:val="20"/>
          <w:szCs w:val="20"/>
        </w:rPr>
        <w:t xml:space="preserve"> interest rates in the U.S. </w:t>
      </w:r>
      <w:r w:rsidR="00552E12">
        <w:rPr>
          <w:rFonts w:ascii="Arial" w:hAnsi="Arial" w:cs="Arial"/>
          <w:i/>
          <w:iCs/>
          <w:sz w:val="20"/>
          <w:szCs w:val="20"/>
        </w:rPr>
        <w:t>ha</w:t>
      </w:r>
      <w:r w:rsidR="007428E6">
        <w:rPr>
          <w:rFonts w:ascii="Arial" w:hAnsi="Arial" w:cs="Arial"/>
          <w:i/>
          <w:iCs/>
          <w:sz w:val="20"/>
          <w:szCs w:val="20"/>
        </w:rPr>
        <w:t>ve</w:t>
      </w:r>
      <w:r w:rsidR="00552E12">
        <w:rPr>
          <w:rFonts w:ascii="Arial" w:hAnsi="Arial" w:cs="Arial"/>
          <w:i/>
          <w:iCs/>
          <w:sz w:val="20"/>
          <w:szCs w:val="20"/>
        </w:rPr>
        <w:t xml:space="preserve"> strengthened the</w:t>
      </w:r>
      <w:r w:rsidR="00F75280" w:rsidRPr="00856A2A">
        <w:rPr>
          <w:rFonts w:ascii="Arial" w:hAnsi="Arial" w:cs="Arial"/>
          <w:i/>
          <w:iCs/>
          <w:sz w:val="20"/>
          <w:szCs w:val="20"/>
        </w:rPr>
        <w:t xml:space="preserve"> U.S. dollar. </w:t>
      </w:r>
      <w:r w:rsidR="0019165B">
        <w:rPr>
          <w:rFonts w:ascii="Arial" w:hAnsi="Arial" w:cs="Arial"/>
          <w:i/>
          <w:iCs/>
          <w:sz w:val="20"/>
          <w:szCs w:val="20"/>
        </w:rPr>
        <w:t>A robust dollar,</w:t>
      </w:r>
      <w:r w:rsidR="00552E12">
        <w:rPr>
          <w:rFonts w:ascii="Arial" w:hAnsi="Arial" w:cs="Arial"/>
          <w:i/>
          <w:iCs/>
          <w:sz w:val="20"/>
          <w:szCs w:val="20"/>
        </w:rPr>
        <w:t xml:space="preserve"> coupled with </w:t>
      </w:r>
      <w:r w:rsidR="0019165B">
        <w:rPr>
          <w:rFonts w:ascii="Arial" w:hAnsi="Arial" w:cs="Arial"/>
          <w:i/>
          <w:iCs/>
          <w:sz w:val="20"/>
          <w:szCs w:val="20"/>
        </w:rPr>
        <w:t xml:space="preserve">more highly elevated </w:t>
      </w:r>
      <w:r w:rsidR="00552E12">
        <w:rPr>
          <w:rFonts w:ascii="Arial" w:hAnsi="Arial" w:cs="Arial"/>
          <w:i/>
          <w:iCs/>
          <w:sz w:val="20"/>
          <w:szCs w:val="20"/>
        </w:rPr>
        <w:t>geopolitical risks</w:t>
      </w:r>
      <w:r w:rsidR="0019165B">
        <w:rPr>
          <w:rFonts w:ascii="Arial" w:hAnsi="Arial" w:cs="Arial"/>
          <w:i/>
          <w:iCs/>
          <w:sz w:val="20"/>
          <w:szCs w:val="20"/>
        </w:rPr>
        <w:t>,</w:t>
      </w:r>
      <w:r w:rsidR="00552E12">
        <w:rPr>
          <w:rFonts w:ascii="Arial" w:hAnsi="Arial" w:cs="Arial"/>
          <w:i/>
          <w:iCs/>
          <w:sz w:val="20"/>
          <w:szCs w:val="20"/>
        </w:rPr>
        <w:t xml:space="preserve"> </w:t>
      </w:r>
      <w:r w:rsidR="00F75280" w:rsidRPr="00856A2A">
        <w:rPr>
          <w:rFonts w:ascii="Arial" w:hAnsi="Arial" w:cs="Arial"/>
          <w:i/>
          <w:iCs/>
          <w:sz w:val="20"/>
          <w:szCs w:val="20"/>
        </w:rPr>
        <w:t xml:space="preserve">has </w:t>
      </w:r>
      <w:r w:rsidR="00552E12">
        <w:rPr>
          <w:rFonts w:ascii="Arial" w:hAnsi="Arial" w:cs="Arial"/>
          <w:i/>
          <w:iCs/>
          <w:sz w:val="20"/>
          <w:szCs w:val="20"/>
        </w:rPr>
        <w:t>weighed on</w:t>
      </w:r>
      <w:r w:rsidR="006E4AE1" w:rsidRPr="00856A2A">
        <w:rPr>
          <w:rFonts w:ascii="Arial" w:hAnsi="Arial" w:cs="Arial"/>
          <w:i/>
          <w:iCs/>
          <w:sz w:val="20"/>
          <w:szCs w:val="20"/>
        </w:rPr>
        <w:t xml:space="preserve"> foreign investments. </w:t>
      </w:r>
    </w:p>
    <w:p w14:paraId="7792C6AB" w14:textId="342B3B5C" w:rsidR="00C146BC" w:rsidRPr="00856A2A" w:rsidRDefault="00C146BC" w:rsidP="00C146BC">
      <w:pPr>
        <w:rPr>
          <w:rFonts w:ascii="Georgia" w:hAnsi="Georgia" w:cs="Arial"/>
          <w:i/>
          <w:iCs/>
          <w:sz w:val="24"/>
          <w:szCs w:val="24"/>
          <w:u w:val="single"/>
        </w:rPr>
      </w:pPr>
      <w:r w:rsidRPr="00856A2A">
        <w:rPr>
          <w:rFonts w:ascii="Georgia" w:hAnsi="Georgia" w:cs="Arial"/>
          <w:i/>
          <w:iCs/>
          <w:sz w:val="24"/>
          <w:szCs w:val="24"/>
          <w:u w:val="single"/>
        </w:rPr>
        <w:t>Positioning &amp; Action</w:t>
      </w:r>
    </w:p>
    <w:p w14:paraId="639DA51F" w14:textId="50EC74A8" w:rsidR="00A80107" w:rsidRPr="00856A2A" w:rsidRDefault="006E4AE1" w:rsidP="00AA5175">
      <w:pPr>
        <w:rPr>
          <w:rFonts w:ascii="Arial" w:hAnsi="Arial" w:cs="Arial"/>
          <w:i/>
          <w:iCs/>
          <w:sz w:val="20"/>
          <w:szCs w:val="20"/>
        </w:rPr>
      </w:pPr>
      <w:r w:rsidRPr="00856A2A">
        <w:rPr>
          <w:rFonts w:ascii="Arial" w:hAnsi="Arial" w:cs="Arial"/>
          <w:i/>
          <w:iCs/>
          <w:sz w:val="20"/>
          <w:szCs w:val="20"/>
        </w:rPr>
        <w:t xml:space="preserve">We recognize no investor has the power of prediction. Therefore, </w:t>
      </w:r>
      <w:r w:rsidR="00D54724">
        <w:rPr>
          <w:rFonts w:ascii="Arial" w:hAnsi="Arial" w:cs="Arial"/>
          <w:i/>
          <w:iCs/>
          <w:sz w:val="20"/>
          <w:szCs w:val="20"/>
        </w:rPr>
        <w:t>to</w:t>
      </w:r>
      <w:r w:rsidR="006760E8">
        <w:rPr>
          <w:rFonts w:ascii="Arial" w:hAnsi="Arial" w:cs="Arial"/>
          <w:i/>
          <w:iCs/>
          <w:sz w:val="20"/>
          <w:szCs w:val="20"/>
        </w:rPr>
        <w:t xml:space="preserve"> </w:t>
      </w:r>
      <w:r w:rsidR="00D54724">
        <w:rPr>
          <w:rFonts w:ascii="Arial" w:hAnsi="Arial" w:cs="Arial"/>
          <w:i/>
          <w:iCs/>
          <w:sz w:val="20"/>
          <w:szCs w:val="20"/>
        </w:rPr>
        <w:t xml:space="preserve">navigate heightened crosscurrents in markets, </w:t>
      </w:r>
      <w:r w:rsidR="006760E8">
        <w:rPr>
          <w:rFonts w:ascii="Arial" w:hAnsi="Arial" w:cs="Arial"/>
          <w:i/>
          <w:iCs/>
          <w:sz w:val="20"/>
          <w:szCs w:val="20"/>
        </w:rPr>
        <w:t>investors are best served by focusing on those facts and insights</w:t>
      </w:r>
      <w:r w:rsidR="00D54724">
        <w:rPr>
          <w:rFonts w:ascii="Arial" w:hAnsi="Arial" w:cs="Arial"/>
          <w:i/>
          <w:iCs/>
          <w:sz w:val="20"/>
          <w:szCs w:val="20"/>
        </w:rPr>
        <w:t xml:space="preserve"> </w:t>
      </w:r>
      <w:r w:rsidRPr="00856A2A">
        <w:rPr>
          <w:rFonts w:ascii="Arial" w:hAnsi="Arial" w:cs="Arial"/>
          <w:i/>
          <w:iCs/>
          <w:sz w:val="20"/>
          <w:szCs w:val="20"/>
        </w:rPr>
        <w:t>t</w:t>
      </w:r>
      <w:r w:rsidR="006760E8">
        <w:rPr>
          <w:rFonts w:ascii="Arial" w:hAnsi="Arial" w:cs="Arial"/>
          <w:i/>
          <w:iCs/>
          <w:sz w:val="20"/>
          <w:szCs w:val="20"/>
        </w:rPr>
        <w:t>hat</w:t>
      </w:r>
      <w:r w:rsidRPr="00856A2A">
        <w:rPr>
          <w:rFonts w:ascii="Arial" w:hAnsi="Arial" w:cs="Arial"/>
          <w:i/>
          <w:iCs/>
          <w:sz w:val="20"/>
          <w:szCs w:val="20"/>
        </w:rPr>
        <w:t xml:space="preserve"> tip the scale toward what is most likely and build</w:t>
      </w:r>
      <w:r w:rsidR="009A01A6">
        <w:rPr>
          <w:rFonts w:ascii="Arial" w:hAnsi="Arial" w:cs="Arial"/>
          <w:i/>
          <w:iCs/>
          <w:sz w:val="20"/>
          <w:szCs w:val="20"/>
        </w:rPr>
        <w:t>ing</w:t>
      </w:r>
      <w:r w:rsidRPr="00856A2A">
        <w:rPr>
          <w:rFonts w:ascii="Arial" w:hAnsi="Arial" w:cs="Arial"/>
          <w:i/>
          <w:iCs/>
          <w:sz w:val="20"/>
          <w:szCs w:val="20"/>
        </w:rPr>
        <w:t xml:space="preserve"> a </w:t>
      </w:r>
      <w:r w:rsidR="009A01A6">
        <w:rPr>
          <w:rFonts w:ascii="Arial" w:hAnsi="Arial" w:cs="Arial"/>
          <w:i/>
          <w:iCs/>
          <w:sz w:val="20"/>
          <w:szCs w:val="20"/>
        </w:rPr>
        <w:t xml:space="preserve">disciplined </w:t>
      </w:r>
      <w:r w:rsidRPr="00856A2A">
        <w:rPr>
          <w:rFonts w:ascii="Arial" w:hAnsi="Arial" w:cs="Arial"/>
          <w:i/>
          <w:iCs/>
          <w:sz w:val="20"/>
          <w:szCs w:val="20"/>
        </w:rPr>
        <w:t xml:space="preserve">process </w:t>
      </w:r>
      <w:r w:rsidR="00C146BC" w:rsidRPr="00856A2A">
        <w:rPr>
          <w:rFonts w:ascii="Arial" w:hAnsi="Arial" w:cs="Arial"/>
          <w:i/>
          <w:iCs/>
          <w:sz w:val="20"/>
          <w:szCs w:val="20"/>
        </w:rPr>
        <w:t xml:space="preserve">that is repeatable to capture and use this information. </w:t>
      </w:r>
    </w:p>
    <w:p w14:paraId="4627D59A" w14:textId="77777777" w:rsidR="008916BD" w:rsidRDefault="008916BD" w:rsidP="00295C61">
      <w:pPr>
        <w:rPr>
          <w:rFonts w:ascii="Arial" w:hAnsi="Arial" w:cs="Arial"/>
          <w:i/>
          <w:iCs/>
          <w:sz w:val="20"/>
          <w:szCs w:val="20"/>
        </w:rPr>
      </w:pPr>
    </w:p>
    <w:p w14:paraId="369F532A" w14:textId="77777777" w:rsidR="008916BD" w:rsidRDefault="008916BD" w:rsidP="00295C61">
      <w:pPr>
        <w:rPr>
          <w:rFonts w:ascii="Arial" w:hAnsi="Arial" w:cs="Arial"/>
          <w:i/>
          <w:iCs/>
          <w:sz w:val="20"/>
          <w:szCs w:val="20"/>
        </w:rPr>
      </w:pPr>
    </w:p>
    <w:p w14:paraId="2D16A151" w14:textId="013A5A1A" w:rsidR="00E71F44" w:rsidRDefault="006760E8" w:rsidP="00295C61">
      <w:pPr>
        <w:rPr>
          <w:rFonts w:ascii="Arial" w:hAnsi="Arial" w:cs="Arial"/>
          <w:i/>
          <w:iCs/>
          <w:sz w:val="20"/>
          <w:szCs w:val="20"/>
        </w:rPr>
      </w:pPr>
      <w:r>
        <w:rPr>
          <w:rFonts w:ascii="Arial" w:hAnsi="Arial" w:cs="Arial"/>
          <w:i/>
          <w:iCs/>
          <w:sz w:val="20"/>
          <w:szCs w:val="20"/>
        </w:rPr>
        <w:t>Entering</w:t>
      </w:r>
      <w:r w:rsidR="00C146BC" w:rsidRPr="00856A2A">
        <w:rPr>
          <w:rFonts w:ascii="Arial" w:hAnsi="Arial" w:cs="Arial"/>
          <w:i/>
          <w:iCs/>
          <w:sz w:val="20"/>
          <w:szCs w:val="20"/>
        </w:rPr>
        <w:t xml:space="preserve"> 2022</w:t>
      </w:r>
      <w:r>
        <w:rPr>
          <w:rFonts w:ascii="Arial" w:hAnsi="Arial" w:cs="Arial"/>
          <w:i/>
          <w:iCs/>
          <w:sz w:val="20"/>
          <w:szCs w:val="20"/>
        </w:rPr>
        <w:t>,</w:t>
      </w:r>
      <w:r w:rsidR="00C146BC" w:rsidRPr="00856A2A">
        <w:rPr>
          <w:rFonts w:ascii="Arial" w:hAnsi="Arial" w:cs="Arial"/>
          <w:i/>
          <w:iCs/>
          <w:sz w:val="20"/>
          <w:szCs w:val="20"/>
        </w:rPr>
        <w:t xml:space="preserve"> we increased weights to diversified real assets</w:t>
      </w:r>
      <w:r w:rsidR="00D43936" w:rsidRPr="00856A2A">
        <w:rPr>
          <w:rFonts w:ascii="Arial" w:hAnsi="Arial" w:cs="Arial"/>
          <w:i/>
          <w:iCs/>
          <w:sz w:val="20"/>
          <w:szCs w:val="20"/>
        </w:rPr>
        <w:t xml:space="preserve"> to help guard against inflation</w:t>
      </w:r>
      <w:r w:rsidR="00C146BC" w:rsidRPr="00856A2A">
        <w:rPr>
          <w:rFonts w:ascii="Arial" w:hAnsi="Arial" w:cs="Arial"/>
          <w:i/>
          <w:iCs/>
          <w:sz w:val="20"/>
          <w:szCs w:val="20"/>
        </w:rPr>
        <w:t xml:space="preserve">, </w:t>
      </w:r>
      <w:r w:rsidR="00D43936" w:rsidRPr="00856A2A">
        <w:rPr>
          <w:rFonts w:ascii="Arial" w:hAnsi="Arial" w:cs="Arial"/>
          <w:i/>
          <w:iCs/>
          <w:sz w:val="20"/>
          <w:szCs w:val="20"/>
        </w:rPr>
        <w:t>added to positions in unconstrained fixed income to buoy against interest rate volatility, encouraged an overall tone of caution when considering risk posture</w:t>
      </w:r>
      <w:r>
        <w:rPr>
          <w:rFonts w:ascii="Arial" w:hAnsi="Arial" w:cs="Arial"/>
          <w:i/>
          <w:iCs/>
          <w:sz w:val="20"/>
          <w:szCs w:val="20"/>
        </w:rPr>
        <w:t>,</w:t>
      </w:r>
      <w:r w:rsidR="00D43936" w:rsidRPr="00856A2A">
        <w:rPr>
          <w:rFonts w:ascii="Arial" w:hAnsi="Arial" w:cs="Arial"/>
          <w:i/>
          <w:iCs/>
          <w:sz w:val="20"/>
          <w:szCs w:val="20"/>
        </w:rPr>
        <w:t xml:space="preserve"> and advocated for diversification </w:t>
      </w:r>
      <w:r w:rsidR="00FB5A30">
        <w:rPr>
          <w:rFonts w:ascii="Arial" w:hAnsi="Arial" w:cs="Arial"/>
          <w:i/>
          <w:iCs/>
          <w:sz w:val="20"/>
          <w:szCs w:val="20"/>
        </w:rPr>
        <w:t>given</w:t>
      </w:r>
      <w:r w:rsidR="00D43936" w:rsidRPr="00856A2A">
        <w:rPr>
          <w:rFonts w:ascii="Arial" w:hAnsi="Arial" w:cs="Arial"/>
          <w:i/>
          <w:iCs/>
          <w:sz w:val="20"/>
          <w:szCs w:val="20"/>
        </w:rPr>
        <w:t xml:space="preserve"> recent trends </w:t>
      </w:r>
      <w:r w:rsidR="00F6603C">
        <w:rPr>
          <w:rFonts w:ascii="Arial" w:hAnsi="Arial" w:cs="Arial"/>
          <w:i/>
          <w:iCs/>
          <w:sz w:val="20"/>
          <w:szCs w:val="20"/>
        </w:rPr>
        <w:t>of</w:t>
      </w:r>
      <w:r w:rsidR="00746301" w:rsidRPr="00856A2A">
        <w:rPr>
          <w:rFonts w:ascii="Arial" w:hAnsi="Arial" w:cs="Arial"/>
          <w:i/>
          <w:iCs/>
          <w:sz w:val="20"/>
          <w:szCs w:val="20"/>
        </w:rPr>
        <w:t xml:space="preserve"> owning more growth</w:t>
      </w:r>
      <w:r w:rsidR="00962ED9">
        <w:rPr>
          <w:rFonts w:ascii="Arial" w:hAnsi="Arial" w:cs="Arial"/>
          <w:i/>
          <w:iCs/>
          <w:sz w:val="20"/>
          <w:szCs w:val="20"/>
        </w:rPr>
        <w:t xml:space="preserve"> at the expense of value stocks. By and large</w:t>
      </w:r>
      <w:r>
        <w:rPr>
          <w:rFonts w:ascii="Arial" w:hAnsi="Arial" w:cs="Arial"/>
          <w:i/>
          <w:iCs/>
          <w:sz w:val="20"/>
          <w:szCs w:val="20"/>
        </w:rPr>
        <w:t>,</w:t>
      </w:r>
      <w:r w:rsidR="00962ED9">
        <w:rPr>
          <w:rFonts w:ascii="Arial" w:hAnsi="Arial" w:cs="Arial"/>
          <w:i/>
          <w:iCs/>
          <w:sz w:val="20"/>
          <w:szCs w:val="20"/>
        </w:rPr>
        <w:t xml:space="preserve"> these changes have benefited r</w:t>
      </w:r>
      <w:r>
        <w:rPr>
          <w:rFonts w:ascii="Arial" w:hAnsi="Arial" w:cs="Arial"/>
          <w:i/>
          <w:iCs/>
          <w:sz w:val="20"/>
          <w:szCs w:val="20"/>
        </w:rPr>
        <w:t>elative r</w:t>
      </w:r>
      <w:r w:rsidR="00962ED9">
        <w:rPr>
          <w:rFonts w:ascii="Arial" w:hAnsi="Arial" w:cs="Arial"/>
          <w:i/>
          <w:iCs/>
          <w:sz w:val="20"/>
          <w:szCs w:val="20"/>
        </w:rPr>
        <w:t>eturns</w:t>
      </w:r>
      <w:r w:rsidR="00E43696">
        <w:rPr>
          <w:rFonts w:ascii="Arial" w:hAnsi="Arial" w:cs="Arial"/>
          <w:i/>
          <w:iCs/>
          <w:sz w:val="20"/>
          <w:szCs w:val="20"/>
        </w:rPr>
        <w:t xml:space="preserve"> in 2022. </w:t>
      </w:r>
      <w:r>
        <w:rPr>
          <w:rFonts w:ascii="Arial" w:hAnsi="Arial" w:cs="Arial"/>
          <w:i/>
          <w:iCs/>
          <w:sz w:val="20"/>
          <w:szCs w:val="20"/>
        </w:rPr>
        <w:t xml:space="preserve">Despite </w:t>
      </w:r>
      <w:r w:rsidR="00746301" w:rsidRPr="00856A2A">
        <w:rPr>
          <w:rFonts w:ascii="Arial" w:hAnsi="Arial" w:cs="Arial"/>
          <w:i/>
          <w:iCs/>
          <w:sz w:val="20"/>
          <w:szCs w:val="20"/>
        </w:rPr>
        <w:t>these preparations</w:t>
      </w:r>
      <w:r>
        <w:rPr>
          <w:rFonts w:ascii="Arial" w:hAnsi="Arial" w:cs="Arial"/>
          <w:i/>
          <w:iCs/>
          <w:sz w:val="20"/>
          <w:szCs w:val="20"/>
        </w:rPr>
        <w:t>,</w:t>
      </w:r>
      <w:r w:rsidR="00746301" w:rsidRPr="00856A2A">
        <w:rPr>
          <w:rFonts w:ascii="Arial" w:hAnsi="Arial" w:cs="Arial"/>
          <w:i/>
          <w:iCs/>
          <w:sz w:val="20"/>
          <w:szCs w:val="20"/>
        </w:rPr>
        <w:t xml:space="preserve"> returns </w:t>
      </w:r>
      <w:r w:rsidR="00746301" w:rsidRPr="00C6711B">
        <w:rPr>
          <w:rFonts w:ascii="Arial" w:hAnsi="Arial" w:cs="Arial"/>
          <w:i/>
          <w:iCs/>
          <w:sz w:val="20"/>
          <w:szCs w:val="20"/>
        </w:rPr>
        <w:t>have been underwhelming</w:t>
      </w:r>
      <w:r>
        <w:rPr>
          <w:rFonts w:ascii="Arial" w:hAnsi="Arial" w:cs="Arial"/>
          <w:i/>
          <w:iCs/>
          <w:sz w:val="20"/>
          <w:szCs w:val="20"/>
        </w:rPr>
        <w:t xml:space="preserve"> year-to-date</w:t>
      </w:r>
      <w:r w:rsidR="00E43696" w:rsidRPr="00C6711B">
        <w:rPr>
          <w:rFonts w:ascii="Arial" w:hAnsi="Arial" w:cs="Arial"/>
          <w:i/>
          <w:iCs/>
          <w:sz w:val="20"/>
          <w:szCs w:val="20"/>
        </w:rPr>
        <w:t xml:space="preserve"> as </w:t>
      </w:r>
      <w:r w:rsidR="00C6711B" w:rsidRPr="00C6711B">
        <w:rPr>
          <w:rFonts w:ascii="Arial" w:hAnsi="Arial" w:cs="Arial"/>
          <w:i/>
          <w:iCs/>
          <w:sz w:val="20"/>
          <w:szCs w:val="20"/>
        </w:rPr>
        <w:t xml:space="preserve">many </w:t>
      </w:r>
      <w:r w:rsidR="00E43696" w:rsidRPr="00C6711B">
        <w:rPr>
          <w:rFonts w:ascii="Arial" w:hAnsi="Arial" w:cs="Arial"/>
          <w:i/>
          <w:iCs/>
          <w:sz w:val="20"/>
          <w:szCs w:val="20"/>
        </w:rPr>
        <w:t>asset</w:t>
      </w:r>
      <w:r w:rsidR="00C6711B" w:rsidRPr="00C6711B">
        <w:rPr>
          <w:rFonts w:ascii="Arial" w:hAnsi="Arial" w:cs="Arial"/>
          <w:i/>
          <w:iCs/>
          <w:sz w:val="20"/>
          <w:szCs w:val="20"/>
        </w:rPr>
        <w:t xml:space="preserve"> classes</w:t>
      </w:r>
      <w:r w:rsidR="00E43696" w:rsidRPr="00C6711B">
        <w:rPr>
          <w:rFonts w:ascii="Arial" w:hAnsi="Arial" w:cs="Arial"/>
          <w:i/>
          <w:iCs/>
          <w:sz w:val="20"/>
          <w:szCs w:val="20"/>
        </w:rPr>
        <w:t xml:space="preserve"> have sold off </w:t>
      </w:r>
      <w:r w:rsidR="00C6711B" w:rsidRPr="00C6711B">
        <w:rPr>
          <w:rFonts w:ascii="Arial" w:hAnsi="Arial" w:cs="Arial"/>
          <w:i/>
          <w:iCs/>
          <w:sz w:val="20"/>
          <w:szCs w:val="20"/>
        </w:rPr>
        <w:t>in unison.</w:t>
      </w:r>
      <w:r w:rsidR="00FF292F">
        <w:rPr>
          <w:rFonts w:ascii="Arial" w:hAnsi="Arial" w:cs="Arial"/>
          <w:i/>
          <w:iCs/>
          <w:sz w:val="20"/>
          <w:szCs w:val="20"/>
        </w:rPr>
        <w:t xml:space="preserve"> Nonetheless, we believe these portfolio positionings remain </w:t>
      </w:r>
      <w:r w:rsidR="0085428B">
        <w:rPr>
          <w:rFonts w:ascii="Arial" w:hAnsi="Arial" w:cs="Arial"/>
          <w:i/>
          <w:iCs/>
          <w:sz w:val="20"/>
          <w:szCs w:val="20"/>
        </w:rPr>
        <w:t xml:space="preserve">well suited </w:t>
      </w:r>
      <w:r w:rsidR="007A0D32">
        <w:rPr>
          <w:rFonts w:ascii="Arial" w:hAnsi="Arial" w:cs="Arial"/>
          <w:i/>
          <w:iCs/>
          <w:sz w:val="20"/>
          <w:szCs w:val="20"/>
        </w:rPr>
        <w:t xml:space="preserve">and appropriate </w:t>
      </w:r>
      <w:r w:rsidR="0085428B">
        <w:rPr>
          <w:rFonts w:ascii="Arial" w:hAnsi="Arial" w:cs="Arial"/>
          <w:i/>
          <w:iCs/>
          <w:sz w:val="20"/>
          <w:szCs w:val="20"/>
        </w:rPr>
        <w:t>for what may continue to be a rocky</w:t>
      </w:r>
      <w:r w:rsidR="007A0D32">
        <w:rPr>
          <w:rFonts w:ascii="Arial" w:hAnsi="Arial" w:cs="Arial"/>
          <w:i/>
          <w:iCs/>
          <w:sz w:val="20"/>
          <w:szCs w:val="20"/>
        </w:rPr>
        <w:t xml:space="preserve"> road</w:t>
      </w:r>
      <w:r w:rsidR="0085428B">
        <w:rPr>
          <w:rFonts w:ascii="Arial" w:hAnsi="Arial" w:cs="Arial"/>
          <w:i/>
          <w:iCs/>
          <w:sz w:val="20"/>
          <w:szCs w:val="20"/>
        </w:rPr>
        <w:t xml:space="preserve"> ahead. </w:t>
      </w:r>
    </w:p>
    <w:p w14:paraId="0AE38B3E" w14:textId="4EB290D9" w:rsidR="00443A34" w:rsidRDefault="007A0D32" w:rsidP="00295C61">
      <w:pPr>
        <w:rPr>
          <w:rFonts w:ascii="Arial" w:hAnsi="Arial" w:cs="Arial"/>
          <w:i/>
          <w:iCs/>
          <w:sz w:val="20"/>
          <w:szCs w:val="20"/>
        </w:rPr>
      </w:pPr>
      <w:r>
        <w:rPr>
          <w:rFonts w:ascii="Arial" w:hAnsi="Arial" w:cs="Arial"/>
          <w:i/>
          <w:iCs/>
          <w:sz w:val="20"/>
          <w:szCs w:val="20"/>
        </w:rPr>
        <w:t>O</w:t>
      </w:r>
      <w:r w:rsidR="00226735">
        <w:rPr>
          <w:rFonts w:ascii="Arial" w:hAnsi="Arial" w:cs="Arial"/>
          <w:i/>
          <w:iCs/>
          <w:sz w:val="20"/>
          <w:szCs w:val="20"/>
        </w:rPr>
        <w:t xml:space="preserve">ur </w:t>
      </w:r>
      <w:r>
        <w:rPr>
          <w:rFonts w:ascii="Arial" w:hAnsi="Arial" w:cs="Arial"/>
          <w:i/>
          <w:iCs/>
          <w:sz w:val="20"/>
          <w:szCs w:val="20"/>
        </w:rPr>
        <w:t>t</w:t>
      </w:r>
      <w:r w:rsidR="00226735">
        <w:rPr>
          <w:rFonts w:ascii="Arial" w:hAnsi="Arial" w:cs="Arial"/>
          <w:i/>
          <w:iCs/>
          <w:sz w:val="20"/>
          <w:szCs w:val="20"/>
        </w:rPr>
        <w:t>eam</w:t>
      </w:r>
      <w:r w:rsidR="0033724A">
        <w:rPr>
          <w:rFonts w:ascii="Arial" w:hAnsi="Arial" w:cs="Arial"/>
          <w:i/>
          <w:iCs/>
          <w:sz w:val="20"/>
          <w:szCs w:val="20"/>
        </w:rPr>
        <w:t xml:space="preserve"> continues to</w:t>
      </w:r>
      <w:r w:rsidR="00226735">
        <w:rPr>
          <w:rFonts w:ascii="Arial" w:hAnsi="Arial" w:cs="Arial"/>
          <w:i/>
          <w:iCs/>
          <w:sz w:val="20"/>
          <w:szCs w:val="20"/>
        </w:rPr>
        <w:t xml:space="preserve"> </w:t>
      </w:r>
      <w:r>
        <w:rPr>
          <w:rFonts w:ascii="Arial" w:hAnsi="Arial" w:cs="Arial"/>
          <w:i/>
          <w:iCs/>
          <w:sz w:val="20"/>
          <w:szCs w:val="20"/>
        </w:rPr>
        <w:t>meet</w:t>
      </w:r>
      <w:r w:rsidR="00226735">
        <w:rPr>
          <w:rFonts w:ascii="Arial" w:hAnsi="Arial" w:cs="Arial"/>
          <w:i/>
          <w:iCs/>
          <w:sz w:val="20"/>
          <w:szCs w:val="20"/>
        </w:rPr>
        <w:t xml:space="preserve"> regularly to evaluate opportunities and risks across the investment landscape. </w:t>
      </w:r>
      <w:r w:rsidR="00B72D1A">
        <w:rPr>
          <w:rFonts w:ascii="Arial" w:hAnsi="Arial" w:cs="Arial"/>
          <w:i/>
          <w:iCs/>
          <w:sz w:val="20"/>
          <w:szCs w:val="20"/>
        </w:rPr>
        <w:t xml:space="preserve">While we do not believe </w:t>
      </w:r>
      <w:r w:rsidR="0033724A">
        <w:rPr>
          <w:rFonts w:ascii="Arial" w:hAnsi="Arial" w:cs="Arial"/>
          <w:i/>
          <w:iCs/>
          <w:sz w:val="20"/>
          <w:szCs w:val="20"/>
        </w:rPr>
        <w:t xml:space="preserve">any further </w:t>
      </w:r>
      <w:r w:rsidR="00B72D1A">
        <w:rPr>
          <w:rFonts w:ascii="Arial" w:hAnsi="Arial" w:cs="Arial"/>
          <w:i/>
          <w:iCs/>
          <w:sz w:val="20"/>
          <w:szCs w:val="20"/>
        </w:rPr>
        <w:t>actio</w:t>
      </w:r>
      <w:r w:rsidR="0033724A">
        <w:rPr>
          <w:rFonts w:ascii="Arial" w:hAnsi="Arial" w:cs="Arial"/>
          <w:i/>
          <w:iCs/>
          <w:sz w:val="20"/>
          <w:szCs w:val="20"/>
        </w:rPr>
        <w:t>n</w:t>
      </w:r>
      <w:r w:rsidR="00B72D1A">
        <w:rPr>
          <w:rFonts w:ascii="Arial" w:hAnsi="Arial" w:cs="Arial"/>
          <w:i/>
          <w:iCs/>
          <w:sz w:val="20"/>
          <w:szCs w:val="20"/>
        </w:rPr>
        <w:t xml:space="preserve"> is warranted</w:t>
      </w:r>
      <w:r w:rsidR="0033724A">
        <w:rPr>
          <w:rFonts w:ascii="Arial" w:hAnsi="Arial" w:cs="Arial"/>
          <w:i/>
          <w:iCs/>
          <w:sz w:val="20"/>
          <w:szCs w:val="20"/>
        </w:rPr>
        <w:t xml:space="preserve"> at this moment</w:t>
      </w:r>
      <w:r w:rsidR="00B72D1A">
        <w:rPr>
          <w:rFonts w:ascii="Arial" w:hAnsi="Arial" w:cs="Arial"/>
          <w:i/>
          <w:iCs/>
          <w:sz w:val="20"/>
          <w:szCs w:val="20"/>
        </w:rPr>
        <w:t xml:space="preserve">, we recognize market conditions can </w:t>
      </w:r>
      <w:r w:rsidR="007F4EF0">
        <w:rPr>
          <w:rFonts w:ascii="Arial" w:hAnsi="Arial" w:cs="Arial"/>
          <w:i/>
          <w:iCs/>
          <w:sz w:val="20"/>
          <w:szCs w:val="20"/>
        </w:rPr>
        <w:t>evolve</w:t>
      </w:r>
      <w:r w:rsidR="00B72D1A">
        <w:rPr>
          <w:rFonts w:ascii="Arial" w:hAnsi="Arial" w:cs="Arial"/>
          <w:i/>
          <w:iCs/>
          <w:sz w:val="20"/>
          <w:szCs w:val="20"/>
        </w:rPr>
        <w:t xml:space="preserve"> quickly</w:t>
      </w:r>
      <w:r w:rsidR="00D517C3">
        <w:rPr>
          <w:rFonts w:ascii="Arial" w:hAnsi="Arial" w:cs="Arial"/>
          <w:i/>
          <w:iCs/>
          <w:sz w:val="20"/>
          <w:szCs w:val="20"/>
        </w:rPr>
        <w:t xml:space="preserve"> and </w:t>
      </w:r>
      <w:r w:rsidR="009F0344">
        <w:rPr>
          <w:rFonts w:ascii="Arial" w:hAnsi="Arial" w:cs="Arial"/>
          <w:i/>
          <w:iCs/>
          <w:sz w:val="20"/>
          <w:szCs w:val="20"/>
        </w:rPr>
        <w:t xml:space="preserve">we remain vigilant </w:t>
      </w:r>
      <w:r w:rsidR="00927534">
        <w:rPr>
          <w:rFonts w:ascii="Arial" w:hAnsi="Arial" w:cs="Arial"/>
          <w:i/>
          <w:iCs/>
          <w:sz w:val="20"/>
          <w:szCs w:val="20"/>
        </w:rPr>
        <w:t>and steadfast in</w:t>
      </w:r>
      <w:r w:rsidR="00602850">
        <w:rPr>
          <w:rFonts w:ascii="Arial" w:hAnsi="Arial" w:cs="Arial"/>
          <w:i/>
          <w:iCs/>
          <w:sz w:val="20"/>
          <w:szCs w:val="20"/>
        </w:rPr>
        <w:t xml:space="preserve"> our investment approach.</w:t>
      </w:r>
      <w:r w:rsidR="00602850" w:rsidRPr="00602850">
        <w:rPr>
          <w:rFonts w:ascii="Arial" w:hAnsi="Arial" w:cs="Arial"/>
          <w:i/>
          <w:iCs/>
          <w:sz w:val="20"/>
          <w:szCs w:val="20"/>
        </w:rPr>
        <w:t xml:space="preserve"> </w:t>
      </w:r>
    </w:p>
    <w:p w14:paraId="0FA03480" w14:textId="6051DE6B" w:rsidR="008916BD" w:rsidRDefault="008916BD" w:rsidP="00295C61">
      <w:pPr>
        <w:rPr>
          <w:rFonts w:ascii="Arial" w:hAnsi="Arial" w:cs="Arial"/>
          <w:i/>
          <w:iCs/>
          <w:sz w:val="20"/>
          <w:szCs w:val="20"/>
        </w:rPr>
      </w:pPr>
    </w:p>
    <w:p w14:paraId="3FCE9419" w14:textId="2BBBFC7E" w:rsidR="008916BD" w:rsidRDefault="008916BD" w:rsidP="00295C61">
      <w:pPr>
        <w:rPr>
          <w:rFonts w:ascii="Arial" w:hAnsi="Arial" w:cs="Arial"/>
          <w:i/>
          <w:iCs/>
          <w:sz w:val="20"/>
          <w:szCs w:val="20"/>
        </w:rPr>
      </w:pPr>
      <w:r>
        <w:rPr>
          <w:rFonts w:ascii="Arial" w:hAnsi="Arial" w:cs="Arial"/>
          <w:i/>
          <w:iCs/>
          <w:sz w:val="20"/>
          <w:szCs w:val="20"/>
        </w:rPr>
        <w:t>Disclosures</w:t>
      </w:r>
    </w:p>
    <w:p w14:paraId="34BBE194" w14:textId="77777777" w:rsidR="008916BD" w:rsidRPr="001B2CB9" w:rsidRDefault="008916BD" w:rsidP="008916BD">
      <w:pPr>
        <w:jc w:val="both"/>
        <w:rPr>
          <w:rFonts w:ascii="Arial" w:hAnsi="Arial" w:cs="Arial"/>
          <w:i/>
          <w:iCs/>
          <w:sz w:val="20"/>
          <w:szCs w:val="20"/>
        </w:rPr>
      </w:pPr>
      <w:r w:rsidRPr="001B2CB9">
        <w:rPr>
          <w:rFonts w:ascii="Arial" w:hAnsi="Arial" w:cs="Arial"/>
          <w:i/>
          <w:iCs/>
          <w:sz w:val="20"/>
          <w:szCs w:val="20"/>
        </w:rPr>
        <w:t xml:space="preserve">This document is intended for the exclusive use of clients or prospective clients of PCS Advisors. Any additional dissemination or distribution is strictly prohibited. Information provided in this document is for informational and/or educational purposes only and is not, in any way, to be considered investment advice nor a recommendation of any investment product or service. Advice may only be provided after entering into an engagement agreement and providing PCS Advisors with all requested background and account information. </w:t>
      </w:r>
    </w:p>
    <w:p w14:paraId="26C9ABF5" w14:textId="77777777" w:rsidR="008916BD" w:rsidRPr="001B2CB9" w:rsidRDefault="008916BD" w:rsidP="008916BD">
      <w:pPr>
        <w:jc w:val="both"/>
        <w:rPr>
          <w:rFonts w:ascii="Arial" w:hAnsi="Arial" w:cs="Arial"/>
          <w:i/>
          <w:iCs/>
          <w:color w:val="000000"/>
          <w:sz w:val="20"/>
          <w:szCs w:val="20"/>
        </w:rPr>
      </w:pPr>
      <w:r w:rsidRPr="001B2CB9">
        <w:rPr>
          <w:rFonts w:ascii="Arial" w:hAnsi="Arial" w:cs="Arial"/>
          <w:i/>
          <w:iCs/>
          <w:color w:val="000000"/>
          <w:sz w:val="20"/>
          <w:szCs w:val="20"/>
        </w:rPr>
        <w:t xml:space="preserve">In partnership with </w:t>
      </w:r>
      <w:proofErr w:type="spellStart"/>
      <w:r w:rsidRPr="001B2CB9">
        <w:rPr>
          <w:rFonts w:ascii="Arial" w:hAnsi="Arial" w:cs="Arial"/>
          <w:i/>
          <w:iCs/>
          <w:color w:val="000000"/>
          <w:sz w:val="20"/>
          <w:szCs w:val="20"/>
        </w:rPr>
        <w:t>Fiducient</w:t>
      </w:r>
      <w:proofErr w:type="spellEnd"/>
      <w:r w:rsidRPr="001B2CB9">
        <w:rPr>
          <w:rFonts w:ascii="Arial" w:hAnsi="Arial" w:cs="Arial"/>
          <w:i/>
          <w:iCs/>
          <w:color w:val="000000"/>
          <w:sz w:val="20"/>
          <w:szCs w:val="20"/>
        </w:rPr>
        <w:t xml:space="preserve"> Advisors, the included information has been obtained from a variety of sources believed to be reliable though not independently verified. Any forecasts represent future expectations and actual returns, volatilities and correlations will differ from forecasts. Past performance does not indicate future performance and there is a possibility of a loss.</w:t>
      </w:r>
    </w:p>
    <w:p w14:paraId="21D68A88" w14:textId="77777777" w:rsidR="008916BD" w:rsidRPr="001B2CB9" w:rsidRDefault="008916BD" w:rsidP="008916BD">
      <w:pPr>
        <w:jc w:val="both"/>
        <w:rPr>
          <w:rFonts w:ascii="Arial" w:hAnsi="Arial" w:cs="Arial"/>
          <w:i/>
          <w:iCs/>
          <w:sz w:val="20"/>
          <w:szCs w:val="20"/>
        </w:rPr>
      </w:pPr>
      <w:r w:rsidRPr="001B2CB9">
        <w:rPr>
          <w:rFonts w:ascii="Arial" w:hAnsi="Arial" w:cs="Arial"/>
          <w:i/>
          <w:iCs/>
          <w:sz w:val="20"/>
          <w:szCs w:val="20"/>
        </w:rPr>
        <w:t xml:space="preserve">Please visit </w:t>
      </w:r>
      <w:hyperlink r:id="rId11" w:history="1">
        <w:r w:rsidRPr="001B2CB9">
          <w:rPr>
            <w:rStyle w:val="Hyperlink"/>
            <w:rFonts w:ascii="Arial" w:hAnsi="Arial" w:cs="Arial"/>
            <w:i/>
            <w:iCs/>
            <w:sz w:val="20"/>
            <w:szCs w:val="20"/>
          </w:rPr>
          <w:t>www.pcsbd.net/disclosures</w:t>
        </w:r>
      </w:hyperlink>
      <w:r w:rsidRPr="001B2CB9">
        <w:rPr>
          <w:rFonts w:ascii="Arial" w:hAnsi="Arial" w:cs="Arial"/>
          <w:i/>
          <w:iCs/>
          <w:sz w:val="20"/>
          <w:szCs w:val="20"/>
        </w:rPr>
        <w:t xml:space="preserve"> for other important disclosures. Private Client Services is an SEC Registered Investment Advisor doing business as PCS Advisors. For information about </w:t>
      </w:r>
      <w:proofErr w:type="spellStart"/>
      <w:r w:rsidRPr="001B2CB9">
        <w:rPr>
          <w:rFonts w:ascii="Arial" w:hAnsi="Arial" w:cs="Arial"/>
          <w:i/>
          <w:iCs/>
          <w:sz w:val="20"/>
          <w:szCs w:val="20"/>
        </w:rPr>
        <w:t>Fiducient</w:t>
      </w:r>
      <w:proofErr w:type="spellEnd"/>
      <w:r w:rsidRPr="001B2CB9">
        <w:rPr>
          <w:rFonts w:ascii="Arial" w:hAnsi="Arial" w:cs="Arial"/>
          <w:i/>
          <w:iCs/>
          <w:sz w:val="20"/>
          <w:szCs w:val="20"/>
        </w:rPr>
        <w:t xml:space="preserve"> Advisors please visit </w:t>
      </w:r>
      <w:hyperlink r:id="rId12" w:history="1">
        <w:r w:rsidRPr="001B2CB9">
          <w:rPr>
            <w:rStyle w:val="Hyperlink"/>
            <w:rFonts w:ascii="Arial" w:hAnsi="Arial" w:cs="Arial"/>
            <w:i/>
            <w:iCs/>
            <w:sz w:val="20"/>
            <w:szCs w:val="20"/>
          </w:rPr>
          <w:t>www.fiducientadvisors.com</w:t>
        </w:r>
      </w:hyperlink>
      <w:r w:rsidRPr="001B2CB9">
        <w:rPr>
          <w:rFonts w:ascii="Arial" w:hAnsi="Arial" w:cs="Arial"/>
          <w:i/>
          <w:iCs/>
          <w:sz w:val="20"/>
          <w:szCs w:val="20"/>
        </w:rPr>
        <w:t>.</w:t>
      </w:r>
    </w:p>
    <w:p w14:paraId="0A428383" w14:textId="77777777" w:rsidR="008916BD" w:rsidRDefault="008916BD" w:rsidP="00295C61">
      <w:pPr>
        <w:rPr>
          <w:rFonts w:ascii="Arial" w:hAnsi="Arial" w:cs="Arial"/>
          <w:i/>
          <w:iCs/>
          <w:sz w:val="20"/>
          <w:szCs w:val="20"/>
        </w:rPr>
      </w:pPr>
    </w:p>
    <w:p w14:paraId="5F8EC016" w14:textId="026BF139" w:rsidR="00E71F44" w:rsidRPr="00C6711B" w:rsidRDefault="00E71F44" w:rsidP="00295C61">
      <w:pPr>
        <w:rPr>
          <w:rFonts w:ascii="Arial" w:hAnsi="Arial" w:cs="Arial"/>
          <w:i/>
          <w:iCs/>
          <w:sz w:val="20"/>
          <w:szCs w:val="20"/>
        </w:rPr>
      </w:pPr>
    </w:p>
    <w:sectPr w:rsidR="00E71F44" w:rsidRPr="00C6711B" w:rsidSect="008916B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2739" w14:textId="77777777" w:rsidR="008916BD" w:rsidRDefault="008916BD" w:rsidP="008916BD">
      <w:pPr>
        <w:spacing w:after="0" w:line="240" w:lineRule="auto"/>
      </w:pPr>
      <w:r>
        <w:separator/>
      </w:r>
    </w:p>
  </w:endnote>
  <w:endnote w:type="continuationSeparator" w:id="0">
    <w:p w14:paraId="2E91568D" w14:textId="77777777" w:rsidR="008916BD" w:rsidRDefault="008916BD" w:rsidP="0089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E958" w14:textId="77777777" w:rsidR="008916BD" w:rsidRDefault="008916BD" w:rsidP="008916BD">
      <w:pPr>
        <w:spacing w:after="0" w:line="240" w:lineRule="auto"/>
      </w:pPr>
      <w:r>
        <w:separator/>
      </w:r>
    </w:p>
  </w:footnote>
  <w:footnote w:type="continuationSeparator" w:id="0">
    <w:p w14:paraId="206CDCB4" w14:textId="77777777" w:rsidR="008916BD" w:rsidRDefault="008916BD" w:rsidP="0089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A498" w14:textId="2DE6DF3D" w:rsidR="008916BD" w:rsidRDefault="008916BD" w:rsidP="008916BD">
    <w:pPr>
      <w:pStyle w:val="Header"/>
      <w:ind w:left="-720"/>
    </w:pPr>
    <w:r>
      <w:rPr>
        <w:noProof/>
      </w:rPr>
      <w:drawing>
        <wp:inline distT="0" distB="0" distL="0" distR="0" wp14:anchorId="7720D99A" wp14:editId="6BC92E6A">
          <wp:extent cx="1724025" cy="10477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47750"/>
                  </a:xfrm>
                  <a:prstGeom prst="rect">
                    <a:avLst/>
                  </a:prstGeom>
                  <a:noFill/>
                  <a:ln>
                    <a:noFill/>
                  </a:ln>
                </pic:spPr>
              </pic:pic>
            </a:graphicData>
          </a:graphic>
        </wp:inline>
      </w:drawing>
    </w:r>
  </w:p>
  <w:p w14:paraId="4B47787D" w14:textId="77777777" w:rsidR="008916BD" w:rsidRDefault="00891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D4EFC"/>
    <w:multiLevelType w:val="hybridMultilevel"/>
    <w:tmpl w:val="B69A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16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13"/>
    <w:rsid w:val="000D5B51"/>
    <w:rsid w:val="001508A8"/>
    <w:rsid w:val="001644F2"/>
    <w:rsid w:val="0016451F"/>
    <w:rsid w:val="0017254A"/>
    <w:rsid w:val="0019165B"/>
    <w:rsid w:val="001E6440"/>
    <w:rsid w:val="001F58C0"/>
    <w:rsid w:val="00226735"/>
    <w:rsid w:val="00295C61"/>
    <w:rsid w:val="002A67FD"/>
    <w:rsid w:val="002B202A"/>
    <w:rsid w:val="002C312A"/>
    <w:rsid w:val="002F40A9"/>
    <w:rsid w:val="002F5350"/>
    <w:rsid w:val="0033724A"/>
    <w:rsid w:val="00351D3D"/>
    <w:rsid w:val="00381E31"/>
    <w:rsid w:val="003B0841"/>
    <w:rsid w:val="003B1D2A"/>
    <w:rsid w:val="003D23B6"/>
    <w:rsid w:val="00435333"/>
    <w:rsid w:val="00441360"/>
    <w:rsid w:val="00443A34"/>
    <w:rsid w:val="00552E12"/>
    <w:rsid w:val="005B562B"/>
    <w:rsid w:val="00602850"/>
    <w:rsid w:val="0062663E"/>
    <w:rsid w:val="00631291"/>
    <w:rsid w:val="00635B69"/>
    <w:rsid w:val="00644B6F"/>
    <w:rsid w:val="006760E8"/>
    <w:rsid w:val="00686B78"/>
    <w:rsid w:val="0069514A"/>
    <w:rsid w:val="006C2275"/>
    <w:rsid w:val="006D6EE9"/>
    <w:rsid w:val="006E4AE1"/>
    <w:rsid w:val="00721210"/>
    <w:rsid w:val="00721224"/>
    <w:rsid w:val="007428E6"/>
    <w:rsid w:val="00745FEC"/>
    <w:rsid w:val="00746301"/>
    <w:rsid w:val="00790832"/>
    <w:rsid w:val="007A0D32"/>
    <w:rsid w:val="007E6581"/>
    <w:rsid w:val="007F4EF0"/>
    <w:rsid w:val="00850770"/>
    <w:rsid w:val="0085428B"/>
    <w:rsid w:val="00856A2A"/>
    <w:rsid w:val="00862C39"/>
    <w:rsid w:val="008916BD"/>
    <w:rsid w:val="008F06C5"/>
    <w:rsid w:val="00922155"/>
    <w:rsid w:val="00927534"/>
    <w:rsid w:val="009433A0"/>
    <w:rsid w:val="00962ED9"/>
    <w:rsid w:val="009825EE"/>
    <w:rsid w:val="00992064"/>
    <w:rsid w:val="009A01A6"/>
    <w:rsid w:val="009A56DB"/>
    <w:rsid w:val="009F0344"/>
    <w:rsid w:val="00A011CC"/>
    <w:rsid w:val="00A07492"/>
    <w:rsid w:val="00A5421D"/>
    <w:rsid w:val="00A5548F"/>
    <w:rsid w:val="00A80107"/>
    <w:rsid w:val="00AA5175"/>
    <w:rsid w:val="00AC7D4F"/>
    <w:rsid w:val="00AD3159"/>
    <w:rsid w:val="00B033B2"/>
    <w:rsid w:val="00B72D1A"/>
    <w:rsid w:val="00BE70C4"/>
    <w:rsid w:val="00C146BC"/>
    <w:rsid w:val="00C237EC"/>
    <w:rsid w:val="00C33A0D"/>
    <w:rsid w:val="00C422A9"/>
    <w:rsid w:val="00C6711B"/>
    <w:rsid w:val="00C834BF"/>
    <w:rsid w:val="00C8595F"/>
    <w:rsid w:val="00CD29AF"/>
    <w:rsid w:val="00CE74C3"/>
    <w:rsid w:val="00CF7113"/>
    <w:rsid w:val="00D43936"/>
    <w:rsid w:val="00D517C3"/>
    <w:rsid w:val="00D54724"/>
    <w:rsid w:val="00D72280"/>
    <w:rsid w:val="00D85470"/>
    <w:rsid w:val="00D87195"/>
    <w:rsid w:val="00DB2A0E"/>
    <w:rsid w:val="00E34F5C"/>
    <w:rsid w:val="00E43696"/>
    <w:rsid w:val="00E71F44"/>
    <w:rsid w:val="00E8130C"/>
    <w:rsid w:val="00E959A7"/>
    <w:rsid w:val="00F6603C"/>
    <w:rsid w:val="00F75280"/>
    <w:rsid w:val="00FB5A30"/>
    <w:rsid w:val="00FF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7DF0"/>
  <w15:chartTrackingRefBased/>
  <w15:docId w15:val="{9FEDEC45-2440-4482-91FF-BCFCB6D4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C61"/>
    <w:pPr>
      <w:ind w:left="720"/>
      <w:contextualSpacing/>
    </w:pPr>
  </w:style>
  <w:style w:type="character" w:styleId="Hyperlink">
    <w:name w:val="Hyperlink"/>
    <w:basedOn w:val="DefaultParagraphFont"/>
    <w:uiPriority w:val="99"/>
    <w:unhideWhenUsed/>
    <w:rsid w:val="00F75280"/>
    <w:rPr>
      <w:color w:val="0563C1" w:themeColor="hyperlink"/>
      <w:u w:val="single"/>
    </w:rPr>
  </w:style>
  <w:style w:type="character" w:styleId="UnresolvedMention">
    <w:name w:val="Unresolved Mention"/>
    <w:basedOn w:val="DefaultParagraphFont"/>
    <w:uiPriority w:val="99"/>
    <w:semiHidden/>
    <w:unhideWhenUsed/>
    <w:rsid w:val="00F75280"/>
    <w:rPr>
      <w:color w:val="605E5C"/>
      <w:shd w:val="clear" w:color="auto" w:fill="E1DFDD"/>
    </w:rPr>
  </w:style>
  <w:style w:type="character" w:styleId="FollowedHyperlink">
    <w:name w:val="FollowedHyperlink"/>
    <w:basedOn w:val="DefaultParagraphFont"/>
    <w:uiPriority w:val="99"/>
    <w:semiHidden/>
    <w:unhideWhenUsed/>
    <w:rsid w:val="00922155"/>
    <w:rPr>
      <w:color w:val="954F72" w:themeColor="followedHyperlink"/>
      <w:u w:val="single"/>
    </w:rPr>
  </w:style>
  <w:style w:type="paragraph" w:styleId="Revision">
    <w:name w:val="Revision"/>
    <w:hidden/>
    <w:uiPriority w:val="99"/>
    <w:semiHidden/>
    <w:rsid w:val="006C2275"/>
    <w:pPr>
      <w:spacing w:after="0" w:line="240" w:lineRule="auto"/>
    </w:pPr>
  </w:style>
  <w:style w:type="paragraph" w:styleId="Header">
    <w:name w:val="header"/>
    <w:basedOn w:val="Normal"/>
    <w:link w:val="HeaderChar"/>
    <w:uiPriority w:val="99"/>
    <w:unhideWhenUsed/>
    <w:rsid w:val="0089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6BD"/>
  </w:style>
  <w:style w:type="paragraph" w:styleId="Footer">
    <w:name w:val="footer"/>
    <w:basedOn w:val="Normal"/>
    <w:link w:val="FooterChar"/>
    <w:uiPriority w:val="99"/>
    <w:unhideWhenUsed/>
    <w:rsid w:val="0089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anGhf9lg7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ducientadviso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sbd.net/disclos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ducientadvisors.com/research/april-market-review-when-hawks-cry-a-hawkish-tone-from-the-fed-leaves-investors-in-a-sad-state" TargetMode="External"/><Relationship Id="rId4" Type="http://schemas.openxmlformats.org/officeDocument/2006/relationships/settings" Target="settings.xml"/><Relationship Id="rId9" Type="http://schemas.openxmlformats.org/officeDocument/2006/relationships/hyperlink" Target="https://www.fiducientadvisors.com/research/2022-outlook-navigating-mode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5</b:Tag>
    <b:SourceType>JournalArticle</b:SourceType>
    <b:Guid>{FDFA3270-5719-4265-9C3A-64A73D91889E}</b:Guid>
    <b:Title>Fiducient Advisors: Fixed Income Complanency</b:Title>
    <b:RefOrder>4</b:RefOrder>
  </b:Source>
</b:Sources>
</file>

<file path=customXml/itemProps1.xml><?xml version="1.0" encoding="utf-8"?>
<ds:datastoreItem xmlns:ds="http://schemas.openxmlformats.org/officeDocument/2006/customXml" ds:itemID="{6448EF94-8435-4308-BD94-7F1F964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Brad</dc:creator>
  <cp:keywords/>
  <dc:description/>
  <cp:lastModifiedBy>Burton, Leslie</cp:lastModifiedBy>
  <cp:revision>2</cp:revision>
  <dcterms:created xsi:type="dcterms:W3CDTF">2022-05-18T18:14:00Z</dcterms:created>
  <dcterms:modified xsi:type="dcterms:W3CDTF">2022-05-18T18:14:00Z</dcterms:modified>
</cp:coreProperties>
</file>