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731D2" w14:textId="77777777" w:rsidR="00193366" w:rsidRDefault="00193366">
      <w:pPr>
        <w:pStyle w:val="BodyText"/>
        <w:spacing w:before="114"/>
        <w:rPr>
          <w:sz w:val="40"/>
        </w:rPr>
      </w:pPr>
    </w:p>
    <w:p w14:paraId="494731D3" w14:textId="77777777" w:rsidR="00193366" w:rsidRDefault="00FE43A8">
      <w:pPr>
        <w:pStyle w:val="Title"/>
      </w:pPr>
      <w:r>
        <w:rPr>
          <w:noProof/>
        </w:rPr>
        <w:drawing>
          <wp:anchor distT="0" distB="0" distL="0" distR="0" simplePos="0" relativeHeight="15728640" behindDoc="0" locked="0" layoutInCell="1" allowOverlap="1" wp14:anchorId="494731E0" wp14:editId="494731E1">
            <wp:simplePos x="0" y="0"/>
            <wp:positionH relativeFrom="page">
              <wp:posOffset>914400</wp:posOffset>
            </wp:positionH>
            <wp:positionV relativeFrom="paragraph">
              <wp:posOffset>-364465</wp:posOffset>
            </wp:positionV>
            <wp:extent cx="1897379" cy="116193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897379" cy="1161935"/>
                    </a:xfrm>
                    <a:prstGeom prst="rect">
                      <a:avLst/>
                    </a:prstGeom>
                  </pic:spPr>
                </pic:pic>
              </a:graphicData>
            </a:graphic>
          </wp:anchor>
        </w:drawing>
      </w:r>
      <w:r>
        <w:t>PTE</w:t>
      </w:r>
      <w:r>
        <w:rPr>
          <w:spacing w:val="-3"/>
        </w:rPr>
        <w:t xml:space="preserve"> </w:t>
      </w:r>
      <w:r>
        <w:t>2020</w:t>
      </w:r>
      <w:r>
        <w:rPr>
          <w:spacing w:val="-5"/>
        </w:rPr>
        <w:t xml:space="preserve"> </w:t>
      </w:r>
      <w:r>
        <w:t>Rollover</w:t>
      </w:r>
      <w:r>
        <w:rPr>
          <w:spacing w:val="-3"/>
        </w:rPr>
        <w:t xml:space="preserve"> </w:t>
      </w:r>
      <w:r>
        <w:rPr>
          <w:spacing w:val="-2"/>
        </w:rPr>
        <w:t>Disclosure</w:t>
      </w:r>
    </w:p>
    <w:p w14:paraId="494731D4" w14:textId="77777777" w:rsidR="00193366" w:rsidRDefault="00193366">
      <w:pPr>
        <w:pStyle w:val="BodyText"/>
        <w:rPr>
          <w:rFonts w:ascii="Garamond"/>
          <w:b/>
        </w:rPr>
      </w:pPr>
    </w:p>
    <w:p w14:paraId="494731D5" w14:textId="77777777" w:rsidR="00193366" w:rsidRDefault="00193366">
      <w:pPr>
        <w:pStyle w:val="BodyText"/>
        <w:rPr>
          <w:rFonts w:ascii="Garamond"/>
          <w:b/>
        </w:rPr>
      </w:pPr>
    </w:p>
    <w:p w14:paraId="494731D6" w14:textId="77777777" w:rsidR="00193366" w:rsidRDefault="00193366">
      <w:pPr>
        <w:pStyle w:val="BodyText"/>
        <w:rPr>
          <w:rFonts w:ascii="Garamond"/>
          <w:b/>
        </w:rPr>
      </w:pPr>
    </w:p>
    <w:p w14:paraId="494731D7" w14:textId="77777777" w:rsidR="00193366" w:rsidRDefault="00193366">
      <w:pPr>
        <w:pStyle w:val="BodyText"/>
        <w:spacing w:before="175"/>
        <w:rPr>
          <w:rFonts w:ascii="Garamond"/>
          <w:b/>
        </w:rPr>
      </w:pPr>
    </w:p>
    <w:p w14:paraId="437DCF0C" w14:textId="77777777" w:rsidR="004F3876" w:rsidRPr="004F3876" w:rsidRDefault="004F3876" w:rsidP="004F3876">
      <w:pPr>
        <w:rPr>
          <w:sz w:val="30"/>
          <w:szCs w:val="30"/>
        </w:rPr>
      </w:pPr>
      <w:r w:rsidRPr="004F3876">
        <w:rPr>
          <w:sz w:val="30"/>
          <w:szCs w:val="30"/>
        </w:rPr>
        <w:t>We are making investment recommendations to you regarding your retirement plan account or individual retirement account as fiduciaries within the meaning of Title I of the Employee Retirement Income Security Act and/or the Internal Revenue Code, as applicable, which are laws governing retirement accounts. The way we make money or otherwise are compensated creates some conflicts with your financial interests, so we operate under a special rule that requires us to act in your best interest and not put our interest ahead of yours.</w:t>
      </w:r>
    </w:p>
    <w:p w14:paraId="6AD68005" w14:textId="77777777" w:rsidR="004F3876" w:rsidRPr="004F3876" w:rsidRDefault="004F3876" w:rsidP="004F3876">
      <w:pPr>
        <w:rPr>
          <w:sz w:val="30"/>
          <w:szCs w:val="30"/>
        </w:rPr>
      </w:pPr>
    </w:p>
    <w:p w14:paraId="60156F78" w14:textId="4C7CCD22" w:rsidR="004F3876" w:rsidRDefault="004F3876" w:rsidP="004F3876">
      <w:pPr>
        <w:rPr>
          <w:sz w:val="30"/>
          <w:szCs w:val="30"/>
        </w:rPr>
      </w:pPr>
      <w:r w:rsidRPr="004F3876">
        <w:rPr>
          <w:sz w:val="30"/>
          <w:szCs w:val="30"/>
        </w:rPr>
        <w:t xml:space="preserve"> Under this special rule’s provisions, we must:</w:t>
      </w:r>
    </w:p>
    <w:p w14:paraId="2B71407C" w14:textId="77777777" w:rsidR="00FF0D6E" w:rsidRPr="004F3876" w:rsidRDefault="00FF0D6E" w:rsidP="004F3876">
      <w:pPr>
        <w:rPr>
          <w:sz w:val="30"/>
          <w:szCs w:val="30"/>
        </w:rPr>
      </w:pPr>
    </w:p>
    <w:p w14:paraId="31624069" w14:textId="40F62033" w:rsidR="004F3876" w:rsidRPr="004F3876" w:rsidRDefault="004F3876" w:rsidP="004F3876">
      <w:pPr>
        <w:pStyle w:val="ListParagraph"/>
        <w:numPr>
          <w:ilvl w:val="0"/>
          <w:numId w:val="2"/>
        </w:numPr>
        <w:rPr>
          <w:sz w:val="30"/>
          <w:szCs w:val="30"/>
        </w:rPr>
      </w:pPr>
      <w:r w:rsidRPr="004F3876">
        <w:rPr>
          <w:sz w:val="30"/>
          <w:szCs w:val="30"/>
        </w:rPr>
        <w:t>Meet a professional standard of care when making investment recommendations (give prudent advice) to you;</w:t>
      </w:r>
    </w:p>
    <w:p w14:paraId="214DD29D" w14:textId="385CF077" w:rsidR="004F3876" w:rsidRPr="004F3876" w:rsidRDefault="004F3876" w:rsidP="004F3876">
      <w:pPr>
        <w:pStyle w:val="ListParagraph"/>
        <w:numPr>
          <w:ilvl w:val="0"/>
          <w:numId w:val="2"/>
        </w:numPr>
        <w:rPr>
          <w:sz w:val="30"/>
          <w:szCs w:val="30"/>
        </w:rPr>
      </w:pPr>
      <w:r w:rsidRPr="004F3876">
        <w:rPr>
          <w:sz w:val="30"/>
          <w:szCs w:val="30"/>
        </w:rPr>
        <w:t>Never put our financial interests ahead of yours when making recommendations (give loyal advice);</w:t>
      </w:r>
    </w:p>
    <w:p w14:paraId="41959C0A" w14:textId="5E554454" w:rsidR="004F3876" w:rsidRPr="004F3876" w:rsidRDefault="004F3876" w:rsidP="004F3876">
      <w:pPr>
        <w:pStyle w:val="ListParagraph"/>
        <w:numPr>
          <w:ilvl w:val="0"/>
          <w:numId w:val="2"/>
        </w:numPr>
        <w:rPr>
          <w:sz w:val="30"/>
          <w:szCs w:val="30"/>
        </w:rPr>
      </w:pPr>
      <w:r w:rsidRPr="004F3876">
        <w:rPr>
          <w:sz w:val="30"/>
          <w:szCs w:val="30"/>
        </w:rPr>
        <w:t>Avoid misleading statements about conflicts of interest, fees, and investments;</w:t>
      </w:r>
    </w:p>
    <w:p w14:paraId="238FFEA8" w14:textId="47FE7E94" w:rsidR="004F3876" w:rsidRPr="004F3876" w:rsidRDefault="004F3876" w:rsidP="004F3876">
      <w:pPr>
        <w:pStyle w:val="ListParagraph"/>
        <w:numPr>
          <w:ilvl w:val="0"/>
          <w:numId w:val="2"/>
        </w:numPr>
        <w:rPr>
          <w:sz w:val="30"/>
          <w:szCs w:val="30"/>
        </w:rPr>
      </w:pPr>
      <w:r w:rsidRPr="004F3876">
        <w:rPr>
          <w:sz w:val="30"/>
          <w:szCs w:val="30"/>
        </w:rPr>
        <w:t>Follow policies and procedures designed to ensure that we give advice that is in your best interest;</w:t>
      </w:r>
    </w:p>
    <w:p w14:paraId="66293065" w14:textId="11BF0674" w:rsidR="004F3876" w:rsidRPr="004F3876" w:rsidRDefault="004F3876" w:rsidP="004F3876">
      <w:pPr>
        <w:pStyle w:val="ListParagraph"/>
        <w:numPr>
          <w:ilvl w:val="0"/>
          <w:numId w:val="2"/>
        </w:numPr>
        <w:rPr>
          <w:sz w:val="30"/>
          <w:szCs w:val="30"/>
        </w:rPr>
      </w:pPr>
      <w:r w:rsidRPr="004F3876">
        <w:rPr>
          <w:sz w:val="30"/>
          <w:szCs w:val="30"/>
        </w:rPr>
        <w:t>Charge no more than what is reasonable for our services; and</w:t>
      </w:r>
    </w:p>
    <w:p w14:paraId="553289D4" w14:textId="1705188E" w:rsidR="004F3876" w:rsidRPr="004F3876" w:rsidRDefault="004F3876" w:rsidP="004F3876">
      <w:pPr>
        <w:pStyle w:val="ListParagraph"/>
        <w:numPr>
          <w:ilvl w:val="0"/>
          <w:numId w:val="2"/>
        </w:numPr>
        <w:rPr>
          <w:sz w:val="30"/>
          <w:szCs w:val="30"/>
        </w:rPr>
      </w:pPr>
      <w:r w:rsidRPr="004F3876">
        <w:rPr>
          <w:sz w:val="30"/>
          <w:szCs w:val="30"/>
        </w:rPr>
        <w:t>Give you basic information about our conflicts of interest</w:t>
      </w:r>
    </w:p>
    <w:p w14:paraId="233A66C2" w14:textId="77777777" w:rsidR="004F3876" w:rsidRDefault="004F3876">
      <w:pPr>
        <w:pStyle w:val="BodyText"/>
        <w:spacing w:line="259" w:lineRule="auto"/>
        <w:ind w:left="100" w:right="274"/>
        <w:jc w:val="both"/>
      </w:pPr>
    </w:p>
    <w:p w14:paraId="0D0BE615" w14:textId="77777777" w:rsidR="004F3876" w:rsidRDefault="004F3876">
      <w:pPr>
        <w:pStyle w:val="BodyText"/>
        <w:spacing w:line="259" w:lineRule="auto"/>
        <w:ind w:left="100" w:right="274"/>
        <w:jc w:val="both"/>
      </w:pPr>
    </w:p>
    <w:sectPr w:rsidR="004F3876">
      <w:footerReference w:type="default" r:id="rId8"/>
      <w:type w:val="continuous"/>
      <w:pgSz w:w="12240" w:h="15840"/>
      <w:pgMar w:top="720" w:right="1160" w:bottom="1020" w:left="1340" w:header="0" w:footer="83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731E7" w14:textId="77777777" w:rsidR="00FE43A8" w:rsidRDefault="00FE43A8">
      <w:r>
        <w:separator/>
      </w:r>
    </w:p>
  </w:endnote>
  <w:endnote w:type="continuationSeparator" w:id="0">
    <w:p w14:paraId="494731E9" w14:textId="77777777" w:rsidR="00FE43A8" w:rsidRDefault="00FE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731E2" w14:textId="77777777" w:rsidR="00193366" w:rsidRDefault="00FE43A8">
    <w:pPr>
      <w:pStyle w:val="BodyText"/>
      <w:spacing w:line="14" w:lineRule="auto"/>
      <w:rPr>
        <w:sz w:val="20"/>
      </w:rPr>
    </w:pPr>
    <w:r>
      <w:rPr>
        <w:noProof/>
      </w:rPr>
      <mc:AlternateContent>
        <mc:Choice Requires="wps">
          <w:drawing>
            <wp:anchor distT="0" distB="0" distL="0" distR="0" simplePos="0" relativeHeight="487562240" behindDoc="1" locked="0" layoutInCell="1" allowOverlap="1" wp14:anchorId="494731E3" wp14:editId="494731E4">
              <wp:simplePos x="0" y="0"/>
              <wp:positionH relativeFrom="page">
                <wp:posOffset>5796788</wp:posOffset>
              </wp:positionH>
              <wp:positionV relativeFrom="page">
                <wp:posOffset>9387587</wp:posOffset>
              </wp:positionV>
              <wp:extent cx="1073785" cy="2260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3785" cy="226060"/>
                      </a:xfrm>
                      <a:prstGeom prst="rect">
                        <a:avLst/>
                      </a:prstGeom>
                    </wps:spPr>
                    <wps:txbx>
                      <w:txbxContent>
                        <w:p w14:paraId="494731E5" w14:textId="78187290" w:rsidR="00193366" w:rsidRDefault="00FE43A8">
                          <w:pPr>
                            <w:spacing w:before="20"/>
                            <w:ind w:left="20"/>
                            <w:rPr>
                              <w:rFonts w:ascii="Garamond"/>
                              <w:sz w:val="28"/>
                            </w:rPr>
                          </w:pPr>
                          <w:r>
                            <w:rPr>
                              <w:rFonts w:ascii="Garamond"/>
                              <w:sz w:val="28"/>
                            </w:rPr>
                            <w:t>PTED</w:t>
                          </w:r>
                          <w:r>
                            <w:rPr>
                              <w:rFonts w:ascii="Garamond"/>
                              <w:spacing w:val="-1"/>
                              <w:sz w:val="28"/>
                            </w:rPr>
                            <w:t xml:space="preserve"> </w:t>
                          </w:r>
                          <w:r>
                            <w:rPr>
                              <w:rFonts w:ascii="Garamond"/>
                              <w:spacing w:val="-2"/>
                              <w:sz w:val="28"/>
                            </w:rPr>
                            <w:t>0</w:t>
                          </w:r>
                          <w:r w:rsidR="00FF0D6E">
                            <w:rPr>
                              <w:rFonts w:ascii="Garamond"/>
                              <w:spacing w:val="-2"/>
                              <w:sz w:val="28"/>
                            </w:rPr>
                            <w:t>4</w:t>
                          </w:r>
                          <w:r>
                            <w:rPr>
                              <w:rFonts w:ascii="Garamond"/>
                              <w:spacing w:val="-2"/>
                              <w:sz w:val="28"/>
                            </w:rPr>
                            <w:t>.202</w:t>
                          </w:r>
                          <w:r w:rsidR="00FF0D6E">
                            <w:rPr>
                              <w:rFonts w:ascii="Garamond"/>
                              <w:spacing w:val="-2"/>
                              <w:sz w:val="28"/>
                            </w:rPr>
                            <w:t>5</w:t>
                          </w:r>
                        </w:p>
                      </w:txbxContent>
                    </wps:txbx>
                    <wps:bodyPr wrap="square" lIns="0" tIns="0" rIns="0" bIns="0" rtlCol="0">
                      <a:noAutofit/>
                    </wps:bodyPr>
                  </wps:wsp>
                </a:graphicData>
              </a:graphic>
            </wp:anchor>
          </w:drawing>
        </mc:Choice>
        <mc:Fallback>
          <w:pict>
            <v:shapetype w14:anchorId="494731E3" id="_x0000_t202" coordsize="21600,21600" o:spt="202" path="m,l,21600r21600,l21600,xe">
              <v:stroke joinstyle="miter"/>
              <v:path gradientshapeok="t" o:connecttype="rect"/>
            </v:shapetype>
            <v:shape id="Textbox 1" o:spid="_x0000_s1026" type="#_x0000_t202" style="position:absolute;margin-left:456.45pt;margin-top:739.2pt;width:84.55pt;height:17.8pt;z-index:-1575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" filled="f" stroked="f">
              <v:textbox inset="0,0,0,0">
                <w:txbxContent>
                  <w:p w14:paraId="494731E5" w14:textId="78187290" w:rsidR="00193366" w:rsidRDefault="00FE43A8">
                    <w:pPr>
                      <w:spacing w:before="20"/>
                      <w:ind w:left="20"/>
                      <w:rPr>
                        <w:rFonts w:ascii="Garamond"/>
                        <w:sz w:val="28"/>
                      </w:rPr>
                    </w:pPr>
                    <w:r>
                      <w:rPr>
                        <w:rFonts w:ascii="Garamond"/>
                        <w:sz w:val="28"/>
                      </w:rPr>
                      <w:t>PTED</w:t>
                    </w:r>
                    <w:r>
                      <w:rPr>
                        <w:rFonts w:ascii="Garamond"/>
                        <w:spacing w:val="-1"/>
                        <w:sz w:val="28"/>
                      </w:rPr>
                      <w:t xml:space="preserve"> </w:t>
                    </w:r>
                    <w:r>
                      <w:rPr>
                        <w:rFonts w:ascii="Garamond"/>
                        <w:spacing w:val="-2"/>
                        <w:sz w:val="28"/>
                      </w:rPr>
                      <w:t>0</w:t>
                    </w:r>
                    <w:r w:rsidR="00FF0D6E">
                      <w:rPr>
                        <w:rFonts w:ascii="Garamond"/>
                        <w:spacing w:val="-2"/>
                        <w:sz w:val="28"/>
                      </w:rPr>
                      <w:t>4</w:t>
                    </w:r>
                    <w:r>
                      <w:rPr>
                        <w:rFonts w:ascii="Garamond"/>
                        <w:spacing w:val="-2"/>
                        <w:sz w:val="28"/>
                      </w:rPr>
                      <w:t>.202</w:t>
                    </w:r>
                    <w:r w:rsidR="00FF0D6E">
                      <w:rPr>
                        <w:rFonts w:ascii="Garamond"/>
                        <w:spacing w:val="-2"/>
                        <w:sz w:val="28"/>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731E3" w14:textId="77777777" w:rsidR="00FE43A8" w:rsidRDefault="00FE43A8">
      <w:r>
        <w:separator/>
      </w:r>
    </w:p>
  </w:footnote>
  <w:footnote w:type="continuationSeparator" w:id="0">
    <w:p w14:paraId="494731E5" w14:textId="77777777" w:rsidR="00FE43A8" w:rsidRDefault="00FE4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20313F"/>
    <w:multiLevelType w:val="hybridMultilevel"/>
    <w:tmpl w:val="0400E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4E34DF"/>
    <w:multiLevelType w:val="hybridMultilevel"/>
    <w:tmpl w:val="24B469DC"/>
    <w:lvl w:ilvl="0" w:tplc="7FD44D72">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68307130">
      <w:numFmt w:val="bullet"/>
      <w:lvlText w:val="•"/>
      <w:lvlJc w:val="left"/>
      <w:pPr>
        <w:ind w:left="1712" w:hanging="360"/>
      </w:pPr>
      <w:rPr>
        <w:rFonts w:hint="default"/>
        <w:lang w:val="en-US" w:eastAsia="en-US" w:bidi="ar-SA"/>
      </w:rPr>
    </w:lvl>
    <w:lvl w:ilvl="2" w:tplc="9A3C7A60">
      <w:numFmt w:val="bullet"/>
      <w:lvlText w:val="•"/>
      <w:lvlJc w:val="left"/>
      <w:pPr>
        <w:ind w:left="2604" w:hanging="360"/>
      </w:pPr>
      <w:rPr>
        <w:rFonts w:hint="default"/>
        <w:lang w:val="en-US" w:eastAsia="en-US" w:bidi="ar-SA"/>
      </w:rPr>
    </w:lvl>
    <w:lvl w:ilvl="3" w:tplc="2734615C">
      <w:numFmt w:val="bullet"/>
      <w:lvlText w:val="•"/>
      <w:lvlJc w:val="left"/>
      <w:pPr>
        <w:ind w:left="3496" w:hanging="360"/>
      </w:pPr>
      <w:rPr>
        <w:rFonts w:hint="default"/>
        <w:lang w:val="en-US" w:eastAsia="en-US" w:bidi="ar-SA"/>
      </w:rPr>
    </w:lvl>
    <w:lvl w:ilvl="4" w:tplc="60260DE6">
      <w:numFmt w:val="bullet"/>
      <w:lvlText w:val="•"/>
      <w:lvlJc w:val="left"/>
      <w:pPr>
        <w:ind w:left="4388" w:hanging="360"/>
      </w:pPr>
      <w:rPr>
        <w:rFonts w:hint="default"/>
        <w:lang w:val="en-US" w:eastAsia="en-US" w:bidi="ar-SA"/>
      </w:rPr>
    </w:lvl>
    <w:lvl w:ilvl="5" w:tplc="B358AC06">
      <w:numFmt w:val="bullet"/>
      <w:lvlText w:val="•"/>
      <w:lvlJc w:val="left"/>
      <w:pPr>
        <w:ind w:left="5280" w:hanging="360"/>
      </w:pPr>
      <w:rPr>
        <w:rFonts w:hint="default"/>
        <w:lang w:val="en-US" w:eastAsia="en-US" w:bidi="ar-SA"/>
      </w:rPr>
    </w:lvl>
    <w:lvl w:ilvl="6" w:tplc="EADEF466">
      <w:numFmt w:val="bullet"/>
      <w:lvlText w:val="•"/>
      <w:lvlJc w:val="left"/>
      <w:pPr>
        <w:ind w:left="6172" w:hanging="360"/>
      </w:pPr>
      <w:rPr>
        <w:rFonts w:hint="default"/>
        <w:lang w:val="en-US" w:eastAsia="en-US" w:bidi="ar-SA"/>
      </w:rPr>
    </w:lvl>
    <w:lvl w:ilvl="7" w:tplc="90744158">
      <w:numFmt w:val="bullet"/>
      <w:lvlText w:val="•"/>
      <w:lvlJc w:val="left"/>
      <w:pPr>
        <w:ind w:left="7064" w:hanging="360"/>
      </w:pPr>
      <w:rPr>
        <w:rFonts w:hint="default"/>
        <w:lang w:val="en-US" w:eastAsia="en-US" w:bidi="ar-SA"/>
      </w:rPr>
    </w:lvl>
    <w:lvl w:ilvl="8" w:tplc="24623DBC">
      <w:numFmt w:val="bullet"/>
      <w:lvlText w:val="•"/>
      <w:lvlJc w:val="left"/>
      <w:pPr>
        <w:ind w:left="7956" w:hanging="360"/>
      </w:pPr>
      <w:rPr>
        <w:rFonts w:hint="default"/>
        <w:lang w:val="en-US" w:eastAsia="en-US" w:bidi="ar-SA"/>
      </w:rPr>
    </w:lvl>
  </w:abstractNum>
  <w:num w:numId="1" w16cid:durableId="1010373986">
    <w:abstractNumId w:val="1"/>
  </w:num>
  <w:num w:numId="2" w16cid:durableId="669988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66"/>
    <w:rsid w:val="00193366"/>
    <w:rsid w:val="004F3876"/>
    <w:rsid w:val="00896F60"/>
    <w:rsid w:val="00FE43A8"/>
    <w:rsid w:val="00FF0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731D2"/>
  <w15:docId w15:val="{4C90EC92-6441-4EE4-9431-AD11928E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0"/>
      <w:szCs w:val="30"/>
    </w:rPr>
  </w:style>
  <w:style w:type="paragraph" w:styleId="Title">
    <w:name w:val="Title"/>
    <w:basedOn w:val="Normal"/>
    <w:uiPriority w:val="10"/>
    <w:qFormat/>
    <w:pPr>
      <w:ind w:left="4561"/>
    </w:pPr>
    <w:rPr>
      <w:rFonts w:ascii="Garamond" w:eastAsia="Garamond" w:hAnsi="Garamond" w:cs="Garamond"/>
      <w:b/>
      <w:bCs/>
      <w:sz w:val="40"/>
      <w:szCs w:val="4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F0D6E"/>
    <w:pPr>
      <w:tabs>
        <w:tab w:val="center" w:pos="4680"/>
        <w:tab w:val="right" w:pos="9360"/>
      </w:tabs>
    </w:pPr>
  </w:style>
  <w:style w:type="character" w:customStyle="1" w:styleId="HeaderChar">
    <w:name w:val="Header Char"/>
    <w:basedOn w:val="DefaultParagraphFont"/>
    <w:link w:val="Header"/>
    <w:uiPriority w:val="99"/>
    <w:rsid w:val="00FF0D6E"/>
    <w:rPr>
      <w:rFonts w:ascii="Times New Roman" w:eastAsia="Times New Roman" w:hAnsi="Times New Roman" w:cs="Times New Roman"/>
    </w:rPr>
  </w:style>
  <w:style w:type="paragraph" w:styleId="Footer">
    <w:name w:val="footer"/>
    <w:basedOn w:val="Normal"/>
    <w:link w:val="FooterChar"/>
    <w:uiPriority w:val="99"/>
    <w:unhideWhenUsed/>
    <w:rsid w:val="00FF0D6E"/>
    <w:pPr>
      <w:tabs>
        <w:tab w:val="center" w:pos="4680"/>
        <w:tab w:val="right" w:pos="9360"/>
      </w:tabs>
    </w:pPr>
  </w:style>
  <w:style w:type="character" w:customStyle="1" w:styleId="FooterChar">
    <w:name w:val="Footer Char"/>
    <w:basedOn w:val="DefaultParagraphFont"/>
    <w:link w:val="Footer"/>
    <w:uiPriority w:val="99"/>
    <w:rsid w:val="00FF0D6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3363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Wescott, Mary</dc:creator>
  <dc:description/>
  <cp:lastModifiedBy>Todd Oberhausen</cp:lastModifiedBy>
  <cp:revision>2</cp:revision>
  <dcterms:created xsi:type="dcterms:W3CDTF">2025-04-02T18:39:00Z</dcterms:created>
  <dcterms:modified xsi:type="dcterms:W3CDTF">2025-04-02T18:39:00Z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Acrobat PDFMaker 23 for Word</vt:lpwstr>
  </property>
  <property fmtid="{D5CDD505-2E9C-101B-9397-08002B2CF9AE}" pid="4" name="LastSaved">
    <vt:filetime>2025-04-02T00:00:00Z</vt:filetime>
  </property>
  <property fmtid="{D5CDD505-2E9C-101B-9397-08002B2CF9AE}" pid="5" name="Producer">
    <vt:lpwstr>Adobe PDF Library 23.6.96</vt:lpwstr>
  </property>
  <property fmtid="{D5CDD505-2E9C-101B-9397-08002B2CF9AE}" pid="6" name="SourceModified">
    <vt:lpwstr>D:20230928153048</vt:lpwstr>
  </property>
</Properties>
</file>